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AEDA5"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494352E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36CFCBA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8268483"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18B654D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AC3690E"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2"/>
          <w:szCs w:val="22"/>
        </w:rPr>
      </w:pPr>
      <w:r>
        <w:rPr>
          <w:b/>
          <w:bCs/>
          <w:sz w:val="22"/>
          <w:szCs w:val="22"/>
        </w:rPr>
        <w:t>Titre 02.01 Sous-construction pour habillages de façades</w:t>
      </w:r>
    </w:p>
    <w:p w14:paraId="45A220C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7CFE18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8CD33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1B804824"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rPr>
      </w:pPr>
      <w:r>
        <w:rPr>
          <w:rFonts w:ascii="Arial" w:hAnsi="Arial"/>
          <w:b/>
          <w:bCs/>
          <w:sz w:val="20"/>
          <w:szCs w:val="20"/>
        </w:rPr>
        <w:t>Auteur :</w:t>
      </w:r>
    </w:p>
    <w:p w14:paraId="5D84CCAF" w14:textId="6B9057A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244AE317" w14:textId="77777777" w:rsidR="004A0473"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rPr>
      </w:pPr>
      <w:r>
        <w:rPr>
          <w:rFonts w:ascii="Arial" w:hAnsi="Arial"/>
          <w:sz w:val="20"/>
          <w:szCs w:val="20"/>
        </w:rPr>
        <w:t>PREFA Aluminiumprodukte GmbH</w:t>
      </w:r>
    </w:p>
    <w:p w14:paraId="75F18E46" w14:textId="235C3ADD"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rPr>
      </w:pPr>
      <w:r>
        <w:rPr>
          <w:rFonts w:ascii="Arial" w:hAnsi="Arial"/>
          <w:sz w:val="20"/>
          <w:szCs w:val="20"/>
        </w:rPr>
        <w:t>3182 Marktl/Lilienfeld</w:t>
      </w:r>
    </w:p>
    <w:p w14:paraId="4EEC08F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eastAsia="x-none"/>
        </w:rPr>
      </w:pPr>
    </w:p>
    <w:p w14:paraId="5021D1F6"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3C80B477"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30981ADD"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64B5DC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2458D4A3"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EE24009" w14:textId="7BD3AFF0"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48BF9CC5"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9EE0303" w14:textId="53B7877C"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3AF674F0"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1BF0F5EE" w14:textId="1394F7E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06175DA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4971110F" w14:textId="0C17D2EF"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11A83F2C" w14:textId="4793063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7E8C42D6" w14:textId="7435E75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5ED135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BCB9EF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4D9E349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95423A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30C5EC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02.01.1 Statique du bâtiment</w:t>
      </w:r>
    </w:p>
    <w:p w14:paraId="68784D3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Réalisation et mise à disposition d’une analyse statique vérifiable portant sur le bâtiment concerné ; sans taxe de contrôle ni redevance d’agrément.</w:t>
      </w:r>
    </w:p>
    <w:p w14:paraId="6A38659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54E15E7" w14:textId="66EBF6FD"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1,000 forfaitaire</w:t>
      </w:r>
      <w:r>
        <w:rPr>
          <w:sz w:val="20"/>
          <w:szCs w:val="20"/>
        </w:rPr>
        <w:tab/>
        <w:t>PU _____________  PT _____________</w:t>
      </w:r>
    </w:p>
    <w:p w14:paraId="109E4DC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41B027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BFB25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02.01.2 Bande d’aluminium perforée PREFA pour façades ventilées</w:t>
      </w:r>
    </w:p>
    <w:p w14:paraId="469471F8" w14:textId="3B3B79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47E50FE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99F344F" w14:textId="363497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BA6810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2DB1E5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1CBB83A8" w14:textId="0D5D8F7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60B67D93" w14:textId="6CFEFFC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53FC5D6C" w14:textId="7AAFD5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1C2961E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A9E0B5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98552B7" w14:textId="121F80C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C2732A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6CEDC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E849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02.01.3 Plaque d’isolation de façade (pour façades ventilées)</w:t>
      </w:r>
    </w:p>
    <w:p w14:paraId="1FD6B07C" w14:textId="77777777" w:rsidR="004A0473"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plaques d’isolation pour les façades ventilées ; disposées en quinconce et étroitement accolées les unes aux autres (pose bords à bords) ; en fibres minérales, hydrophobe, posées sur la sous-construction métallique existante. Comprend la fixation mécanique au moyen de supports adaptés pour panneaux isolants ; inclut aussi l’ajustage aux angles, aux fenêtres et aux montants des portes.</w:t>
      </w:r>
    </w:p>
    <w:p w14:paraId="501FA19B" w14:textId="445584DB" w:rsidR="00CE0999" w:rsidRDefault="00CE0999" w:rsidP="0075760F">
      <w:pPr>
        <w:pStyle w:val="Normal"/>
        <w:tabs>
          <w:tab w:val="left" w:pos="4536"/>
          <w:tab w:val="left" w:pos="9072"/>
          <w:tab w:val="left" w:pos="13608"/>
        </w:tabs>
        <w:ind w:right="1870"/>
        <w:rPr>
          <w:sz w:val="22"/>
          <w:szCs w:val="22"/>
          <w:lang w:eastAsia="x-none"/>
        </w:rPr>
      </w:pPr>
    </w:p>
    <w:p w14:paraId="688789CD" w14:textId="10BC465A" w:rsidR="00CE0999" w:rsidRDefault="00CE0999" w:rsidP="0075760F">
      <w:pPr>
        <w:pStyle w:val="Normal"/>
        <w:tabs>
          <w:tab w:val="left" w:pos="4536"/>
          <w:tab w:val="left" w:pos="9072"/>
          <w:tab w:val="left" w:pos="13608"/>
        </w:tabs>
        <w:ind w:right="1870"/>
        <w:rPr>
          <w:sz w:val="20"/>
          <w:szCs w:val="20"/>
        </w:rPr>
      </w:pPr>
      <w:r>
        <w:rPr>
          <w:sz w:val="20"/>
          <w:szCs w:val="20"/>
        </w:rPr>
        <w:t>Épaisseur : …… mm</w:t>
      </w:r>
    </w:p>
    <w:p w14:paraId="32BE7D27" w14:textId="37B5C770" w:rsidR="00CE0999" w:rsidRDefault="00CE0999" w:rsidP="0075760F">
      <w:pPr>
        <w:pStyle w:val="Normal"/>
        <w:tabs>
          <w:tab w:val="left" w:pos="4536"/>
          <w:tab w:val="left" w:pos="9072"/>
          <w:tab w:val="left" w:pos="13608"/>
        </w:tabs>
        <w:ind w:right="1870"/>
        <w:rPr>
          <w:sz w:val="20"/>
          <w:szCs w:val="20"/>
        </w:rPr>
      </w:pPr>
      <w:r>
        <w:rPr>
          <w:sz w:val="20"/>
          <w:szCs w:val="20"/>
        </w:rPr>
        <w:t>Dimensions : …… mm</w:t>
      </w:r>
    </w:p>
    <w:p w14:paraId="50D4086D" w14:textId="2798A088" w:rsidR="00CE0999" w:rsidRDefault="00CE0999" w:rsidP="0075760F">
      <w:pPr>
        <w:pStyle w:val="Normal"/>
        <w:tabs>
          <w:tab w:val="left" w:pos="4536"/>
          <w:tab w:val="left" w:pos="9072"/>
          <w:tab w:val="left" w:pos="13608"/>
        </w:tabs>
        <w:ind w:right="1870"/>
        <w:rPr>
          <w:sz w:val="22"/>
          <w:szCs w:val="22"/>
        </w:rPr>
      </w:pPr>
      <w:r>
        <w:rPr>
          <w:sz w:val="20"/>
          <w:szCs w:val="20"/>
        </w:rPr>
        <w:t>Conductivité thermique : ……</w:t>
      </w:r>
    </w:p>
    <w:p w14:paraId="71540D78" w14:textId="77777777" w:rsidR="00CE0999" w:rsidRDefault="00CE0999" w:rsidP="0075760F">
      <w:pPr>
        <w:pStyle w:val="Normal"/>
        <w:tabs>
          <w:tab w:val="left" w:pos="4536"/>
          <w:tab w:val="left" w:pos="9072"/>
          <w:tab w:val="left" w:pos="13608"/>
        </w:tabs>
        <w:ind w:right="1870"/>
        <w:rPr>
          <w:sz w:val="22"/>
          <w:szCs w:val="22"/>
          <w:lang w:eastAsia="x-none"/>
        </w:rPr>
      </w:pPr>
    </w:p>
    <w:p w14:paraId="4095A68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Sans limitation quant à la hauteur du bâtiment.</w:t>
      </w:r>
    </w:p>
    <w:p w14:paraId="4823A06E"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Respecter les instructions du fabricant.</w:t>
      </w:r>
    </w:p>
    <w:p w14:paraId="6AD6510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Produit proposé : ……</w:t>
      </w:r>
    </w:p>
    <w:p w14:paraId="3AEF76D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DB77556" w14:textId="34BF392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FAE4B1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C84051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4B1BD3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02.01.4 Supplément appliqué aux plaques d’isolation de façade pour la sous-face</w:t>
      </w:r>
    </w:p>
    <w:p w14:paraId="3432D5E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sous-face.</w:t>
      </w:r>
    </w:p>
    <w:p w14:paraId="1D43C31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D87D3D1" w14:textId="4FC56B3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4B9F92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3C180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15B3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02.01.5 Sous-construction en aluminium</w:t>
      </w:r>
    </w:p>
    <w:p w14:paraId="27A3867B" w14:textId="7172F45E"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rPr>
      </w:pPr>
      <w:r>
        <w:rPr>
          <w:sz w:val="20"/>
          <w:szCs w:val="20"/>
        </w:rPr>
        <w:t>Livraison et pose d’une sous-construction réglable en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476AF43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244377A" w14:textId="3C56512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Équerres de fixation en aluminium, cales de rupture de pont thermique, profils porteurs en L ou en T (en aluminium) ; matériel d’ancrage et d’assemblage compris.</w:t>
      </w:r>
    </w:p>
    <w:p w14:paraId="5E110614" w14:textId="5968FC9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Orientation des profils porteurs : verticale / horizontale</w:t>
      </w:r>
    </w:p>
    <w:p w14:paraId="4E232766" w14:textId="512B2B9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Système proposé : ……</w:t>
      </w:r>
    </w:p>
    <w:p w14:paraId="75A0CB9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4B0530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7257E85" w14:textId="5993576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B6EED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9A836D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AE6DB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02.01.6 Sous-construction en aluminium (double épaisseur)</w:t>
      </w:r>
    </w:p>
    <w:p w14:paraId="51E5397B" w14:textId="654BA9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sous-construction réglable en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61DAF2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C71BDD7" w14:textId="3F9CE3F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Équerres de fixation en aluminium, cales de rupture de pont thermique, profils porteurs horizontaux en L ou en T et profils perforés verticaux oméga ou en Z ; matériel d’ancrage et d’assemblage compris.</w:t>
      </w:r>
    </w:p>
    <w:p w14:paraId="428CB52D" w14:textId="7C82918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Orientation des profils porteurs : verticale / horizontale</w:t>
      </w:r>
    </w:p>
    <w:p w14:paraId="720DF4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Système proposé : ……</w:t>
      </w:r>
    </w:p>
    <w:p w14:paraId="1C76744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47BD2B8" w14:textId="5669C27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758C7F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3FB99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9E904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02.01.7 Sous-construction en bois et aluminium</w:t>
      </w:r>
    </w:p>
    <w:p w14:paraId="64752E2D" w14:textId="163DD199" w:rsidR="00CE0999" w:rsidRDefault="00CE0999" w:rsidP="0075760F">
      <w:pPr>
        <w:pStyle w:val="Normal"/>
        <w:ind w:right="1870"/>
        <w:rPr>
          <w:sz w:val="22"/>
          <w:szCs w:val="22"/>
        </w:rPr>
      </w:pPr>
      <w:r>
        <w:rPr>
          <w:sz w:val="20"/>
          <w:szCs w:val="20"/>
        </w:rPr>
        <w:t>Livraison et pose d’une sous-construction réglable en bois et aluminium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7E796842" w14:textId="77777777" w:rsidR="00CE0999" w:rsidRDefault="00CE0999" w:rsidP="0075760F">
      <w:pPr>
        <w:widowControl w:val="0"/>
        <w:ind w:right="1870"/>
        <w:rPr>
          <w:rFonts w:ascii="Arial" w:hAnsi="Arial" w:cs="Arial"/>
          <w:lang w:eastAsia="x-none"/>
        </w:rPr>
      </w:pPr>
    </w:p>
    <w:p w14:paraId="5F5452A9" w14:textId="235B2296" w:rsidR="00CE0999" w:rsidRDefault="00CE0999" w:rsidP="0075760F">
      <w:pPr>
        <w:widowControl w:val="0"/>
        <w:ind w:right="1870"/>
        <w:rPr>
          <w:rFonts w:ascii="Arial" w:eastAsia="Times New Roman" w:hAnsi="Arial" w:cs="Arial"/>
          <w:sz w:val="20"/>
          <w:szCs w:val="20"/>
        </w:rPr>
      </w:pPr>
      <w:r>
        <w:rPr>
          <w:rFonts w:ascii="Arial" w:hAnsi="Arial"/>
          <w:sz w:val="20"/>
          <w:szCs w:val="20"/>
        </w:rPr>
        <w:t>Équerres de fixation en aluminium, cales de rupture de pont thermique, bois à entures multiples (bois jointé) ; matériel d’ancrage et d’assemblage compris.</w:t>
      </w:r>
    </w:p>
    <w:p w14:paraId="51A4925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Système proposé : ……</w:t>
      </w:r>
    </w:p>
    <w:p w14:paraId="31901FF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F502B4A" w14:textId="41976CB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1278F0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5A6541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1EC4C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02.01.8 Sous-construction en bois</w:t>
      </w:r>
    </w:p>
    <w:p w14:paraId="7ABF5166" w14:textId="38F49C59" w:rsidR="00CE0999" w:rsidRDefault="00CE0999" w:rsidP="0075760F">
      <w:pPr>
        <w:pStyle w:val="Normal"/>
        <w:ind w:right="1870"/>
        <w:rPr>
          <w:sz w:val="22"/>
          <w:szCs w:val="22"/>
        </w:rPr>
      </w:pPr>
      <w:r>
        <w:rPr>
          <w:sz w:val="20"/>
          <w:szCs w:val="20"/>
        </w:rPr>
        <w:t>Livraison et pose d’une sous-construction en bois pour façades ventilées ; alignée et verticale, conformément aux détails de mise en œuvre et en respect des exigences statiques. Pour l’entraxe des profils porteurs, il faudra tenir compte des espacements autorisés pour les fixations des panneaux d’habillage de façade PREFA.</w:t>
      </w:r>
      <w:r>
        <w:rPr>
          <w:color w:val="000000"/>
          <w:sz w:val="20"/>
          <w:szCs w:val="20"/>
        </w:rPr>
        <w:t xml:space="preserve"> Le prix unitaire devra comprendre et couvrir l’ensemble des découpes, des encoches, des constructions complémentaires (lorsque celles-ci sont requises) pour les angles rentrants et sortants, les linteaux de fenêtre, les embrasures, etc., ainsi que le matériel de fixation.</w:t>
      </w:r>
    </w:p>
    <w:p w14:paraId="18A2B642" w14:textId="77777777" w:rsidR="00CE0999" w:rsidRDefault="00CE0999" w:rsidP="0075760F">
      <w:pPr>
        <w:widowControl w:val="0"/>
        <w:ind w:right="1870"/>
        <w:rPr>
          <w:rFonts w:ascii="Arial" w:hAnsi="Arial" w:cs="Arial"/>
          <w:lang w:eastAsia="x-none"/>
        </w:rPr>
      </w:pPr>
    </w:p>
    <w:p w14:paraId="3536D3B9" w14:textId="77777777" w:rsidR="00CE0999" w:rsidRDefault="00CE0999" w:rsidP="0075760F">
      <w:pPr>
        <w:widowControl w:val="0"/>
        <w:ind w:right="1870"/>
        <w:rPr>
          <w:rFonts w:ascii="Arial" w:eastAsia="Times New Roman" w:hAnsi="Arial" w:cs="Arial"/>
          <w:sz w:val="20"/>
          <w:szCs w:val="20"/>
        </w:rPr>
      </w:pPr>
      <w:r>
        <w:rPr>
          <w:rFonts w:ascii="Arial" w:hAnsi="Arial"/>
          <w:sz w:val="20"/>
          <w:szCs w:val="20"/>
        </w:rPr>
        <w:t>Deux couches (lattage et contre-lattage) en bois jointé (bois à entures multiples) ; cales de rupture de pont thermique ; matériel d’ancrage et d’assemblage compris.</w:t>
      </w:r>
    </w:p>
    <w:p w14:paraId="249ED98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Système proposé : ……</w:t>
      </w:r>
    </w:p>
    <w:p w14:paraId="7D0C293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10BF8C8" w14:textId="4B0A42A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5695477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7E48F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E957AE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02.01.9 Supplément appliqué à la sous-construction pour la sous-face</w:t>
      </w:r>
    </w:p>
    <w:p w14:paraId="748D993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Supplément pour sous-face. Espacement par rapport à la sous-construction : max. 500 mm ; fixation mécanique (vis / rivet).</w:t>
      </w:r>
    </w:p>
    <w:p w14:paraId="773B25D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36C7E61" w14:textId="6A98CE2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328CF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9B12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128C6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02.01.10 Équerre en acier positionnée au niveau des linteaux de fenêtre</w:t>
      </w:r>
    </w:p>
    <w:p w14:paraId="11B64BB2" w14:textId="3B21222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color w:val="000000"/>
          <w:sz w:val="20"/>
          <w:szCs w:val="20"/>
        </w:rPr>
        <w:t xml:space="preserve">Livraison et pose d’équerres en acier installées au niveau des linteaux de fenêtre ; </w:t>
      </w:r>
      <w:r>
        <w:rPr>
          <w:sz w:val="20"/>
          <w:szCs w:val="20"/>
        </w:rPr>
        <w:t>ajustage et matériel de fixation inclus.</w:t>
      </w:r>
    </w:p>
    <w:p w14:paraId="1982AF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color w:val="000000"/>
          <w:sz w:val="22"/>
          <w:szCs w:val="22"/>
          <w:lang w:eastAsia="x-none"/>
        </w:rPr>
      </w:pPr>
    </w:p>
    <w:p w14:paraId="45A0FCE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color w:val="000000"/>
          <w:sz w:val="20"/>
          <w:szCs w:val="20"/>
        </w:rPr>
      </w:pPr>
      <w:r>
        <w:rPr>
          <w:color w:val="000000"/>
          <w:sz w:val="20"/>
          <w:szCs w:val="20"/>
        </w:rPr>
        <w:t>Qualité du matériau : acier galvanisé</w:t>
      </w:r>
    </w:p>
    <w:p w14:paraId="4C1351C2" w14:textId="0760FBA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color w:val="000000"/>
          <w:sz w:val="20"/>
          <w:szCs w:val="20"/>
        </w:rPr>
      </w:pPr>
      <w:r>
        <w:rPr>
          <w:color w:val="000000"/>
          <w:sz w:val="20"/>
          <w:szCs w:val="20"/>
        </w:rPr>
        <w:t>Épaisseur du matériau : 0,8 mm</w:t>
      </w:r>
    </w:p>
    <w:p w14:paraId="1C345486" w14:textId="3176CE1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jusqu’à 200 mm</w:t>
      </w:r>
    </w:p>
    <w:p w14:paraId="1E9B5260" w14:textId="558BF50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2 pc.</w:t>
      </w:r>
    </w:p>
    <w:p w14:paraId="146277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09D0FC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96AF935" w14:textId="3E1E40D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4726CD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4C65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2F6604B7" w14:textId="065B008F" w:rsidR="00CE0999" w:rsidRDefault="006F4832" w:rsidP="0075760F">
      <w:pPr>
        <w:pStyle w:val="Normal"/>
        <w:tabs>
          <w:tab w:val="left" w:pos="4025"/>
          <w:tab w:val="left" w:pos="10206"/>
          <w:tab w:val="left" w:pos="11340"/>
          <w:tab w:val="left" w:pos="12474"/>
          <w:tab w:val="left" w:pos="13608"/>
          <w:tab w:val="left" w:pos="14742"/>
          <w:tab w:val="left" w:pos="15876"/>
        </w:tabs>
        <w:ind w:right="1870"/>
        <w:jc w:val="right"/>
        <w:rPr>
          <w:rFonts w:eastAsia="Times New Roman"/>
          <w:b/>
          <w:bCs/>
          <w:sz w:val="22"/>
          <w:szCs w:val="22"/>
        </w:rPr>
      </w:pPr>
      <w:r>
        <w:rPr>
          <w:b/>
          <w:bCs/>
          <w:sz w:val="22"/>
          <w:szCs w:val="22"/>
        </w:rPr>
        <w:t>Titre 02.01 Sous-construction pour habillages de façades  PT ____________</w:t>
      </w:r>
    </w:p>
    <w:p w14:paraId="77CFA915" w14:textId="3E5E72F6"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rFonts w:eastAsia="Times New Roman"/>
          <w:b/>
          <w:bCs/>
          <w:sz w:val="22"/>
          <w:szCs w:val="22"/>
        </w:rPr>
      </w:pPr>
      <w:r>
        <w:br w:type="page"/>
      </w:r>
      <w:r>
        <w:rPr>
          <w:b/>
          <w:bCs/>
          <w:sz w:val="22"/>
          <w:szCs w:val="22"/>
        </w:rPr>
        <w:lastRenderedPageBreak/>
        <w:t>  </w:t>
      </w:r>
    </w:p>
    <w:p w14:paraId="74968B34" w14:textId="77777777" w:rsidR="00CE0999" w:rsidRPr="00C8123B"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7714D9C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43E85B2"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2"/>
          <w:szCs w:val="22"/>
        </w:rPr>
      </w:pPr>
      <w:r>
        <w:rPr>
          <w:sz w:val="22"/>
          <w:szCs w:val="22"/>
        </w:rPr>
        <w:t>Titre 02.01 Sous-construction pour habillages de façades</w:t>
      </w:r>
    </w:p>
    <w:p w14:paraId="33A3CAA5" w14:textId="75F35CDD"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3D9BB76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3D0F4F5"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2A053F30" w14:textId="19D8F8E4"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2655EF67"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49CE0986"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32B25" w14:textId="77777777" w:rsidR="008162F7" w:rsidRDefault="008162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8162F7">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8162F7">
      <w:rPr>
        <w:rFonts w:asciiTheme="majorHAnsi" w:hAnsiTheme="majorHAnsi"/>
        <w:noProof/>
        <w:sz w:val="22"/>
        <w:szCs w:val="22"/>
      </w:rPr>
      <w:t>5</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8162F7"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2969" w14:textId="77777777" w:rsidR="008162F7" w:rsidRDefault="008162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711C" w14:textId="77777777" w:rsidR="008162F7" w:rsidRDefault="008162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6286FBB8" w:rsidR="004439A6" w:rsidRDefault="004439A6" w:rsidP="0075760F">
    <w:pPr>
      <w:pStyle w:val="Kopfzeile"/>
      <w:jc w:val="right"/>
    </w:pPr>
    <w:r>
      <w:tab/>
    </w:r>
    <w:r w:rsidR="008162F7">
      <w:rPr>
        <w:noProof/>
        <w:lang w:val="de-DE" w:eastAsia="de-DE"/>
      </w:rPr>
      <w:drawing>
        <wp:inline distT="0" distB="0" distL="0" distR="0" wp14:anchorId="3722ABAD" wp14:editId="543A7AD4">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5772" w14:textId="77777777" w:rsidR="008162F7" w:rsidRDefault="008162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0C3D"/>
    <w:rsid w:val="004B515D"/>
    <w:rsid w:val="004C7A5A"/>
    <w:rsid w:val="004F140A"/>
    <w:rsid w:val="00567288"/>
    <w:rsid w:val="00584964"/>
    <w:rsid w:val="005F706C"/>
    <w:rsid w:val="00600E4D"/>
    <w:rsid w:val="00637C1A"/>
    <w:rsid w:val="006424E6"/>
    <w:rsid w:val="00657380"/>
    <w:rsid w:val="006F4832"/>
    <w:rsid w:val="0075760F"/>
    <w:rsid w:val="00776294"/>
    <w:rsid w:val="007A74E5"/>
    <w:rsid w:val="007E6013"/>
    <w:rsid w:val="007F6841"/>
    <w:rsid w:val="008162F7"/>
    <w:rsid w:val="008818A0"/>
    <w:rsid w:val="00894CC9"/>
    <w:rsid w:val="008C00B4"/>
    <w:rsid w:val="00945E80"/>
    <w:rsid w:val="00985318"/>
    <w:rsid w:val="009A5DC9"/>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5C87B66B-E09D-4882-A935-A72C1DF7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C420F-60FC-45C2-BAA0-4A1C9679F911}"/>
</file>

<file path=customXml/itemProps2.xml><?xml version="1.0" encoding="utf-8"?>
<ds:datastoreItem xmlns:ds="http://schemas.openxmlformats.org/officeDocument/2006/customXml" ds:itemID="{323609EC-42E8-44C6-8824-06E617B389A5}"/>
</file>

<file path=customXml/itemProps3.xml><?xml version="1.0" encoding="utf-8"?>
<ds:datastoreItem xmlns:ds="http://schemas.openxmlformats.org/officeDocument/2006/customXml" ds:itemID="{A7DACE8A-47EB-416C-B31E-14EBE7C0F6F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7191</Characters>
  <Application>Microsoft Office Word</Application>
  <DocSecurity>0</DocSecurity>
  <Lines>59</Lines>
  <Paragraphs>16</Paragraphs>
  <ScaleCrop>false</ScaleCrop>
  <Company>XXL Communication</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