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76A6C" w14:textId="1F81078C" w:rsidR="006F2311" w:rsidRPr="006430B7" w:rsidRDefault="009C78E4" w:rsidP="006F2311">
      <w:pPr>
        <w:pBdr>
          <w:bottom w:val="single" w:sz="6" w:space="0" w:color="auto"/>
        </w:pBdr>
        <w:spacing w:line="329" w:lineRule="auto"/>
        <w:outlineLvl w:val="0"/>
        <w:rPr>
          <w:rFonts w:ascii="Slimbach LT" w:hAnsi="Slimbach LT"/>
          <w:b/>
          <w:sz w:val="28"/>
          <w:lang w:val="de-AT"/>
        </w:rPr>
      </w:pPr>
      <w:proofErr w:type="spellStart"/>
      <w:r w:rsidRPr="006430B7">
        <w:rPr>
          <w:rFonts w:ascii="Slimbach LT" w:hAnsi="Slimbach LT"/>
          <w:b/>
          <w:sz w:val="28"/>
          <w:lang w:val="de-AT"/>
        </w:rPr>
        <w:t>PRE</w:t>
      </w:r>
      <w:r w:rsidR="00A00ED0" w:rsidRPr="006430B7">
        <w:rPr>
          <w:rFonts w:ascii="Slimbach LT" w:hAnsi="Slimbach LT"/>
          <w:b/>
          <w:sz w:val="28"/>
          <w:lang w:val="de-AT"/>
        </w:rPr>
        <w:t>FArenzen</w:t>
      </w:r>
      <w:proofErr w:type="spellEnd"/>
      <w:r w:rsidR="00A00ED0" w:rsidRPr="006430B7">
        <w:rPr>
          <w:rFonts w:ascii="Slimbach LT" w:hAnsi="Slimbach LT"/>
          <w:b/>
          <w:sz w:val="28"/>
          <w:lang w:val="de-AT"/>
        </w:rPr>
        <w:t>/</w:t>
      </w:r>
      <w:r w:rsidR="00A00ED0" w:rsidRPr="006430B7">
        <w:rPr>
          <w:rFonts w:ascii="Slimbach LT" w:hAnsi="Slimbach LT"/>
          <w:sz w:val="28"/>
          <w:lang w:val="de-AT"/>
        </w:rPr>
        <w:t>Projektbericht</w:t>
      </w:r>
      <w:r w:rsidR="003E4DE8" w:rsidRPr="006430B7">
        <w:rPr>
          <w:rFonts w:ascii="Slimbach LT" w:hAnsi="Slimbach LT"/>
          <w:sz w:val="28"/>
          <w:lang w:val="de-AT"/>
        </w:rPr>
        <w:t xml:space="preserve"> </w:t>
      </w:r>
      <w:r w:rsidR="00604F03">
        <w:rPr>
          <w:rFonts w:ascii="Slimbach LT" w:hAnsi="Slimbach LT"/>
          <w:sz w:val="28"/>
          <w:lang w:val="de-AT"/>
        </w:rPr>
        <w:t>November</w:t>
      </w:r>
      <w:r w:rsidR="003E4DE8" w:rsidRPr="006430B7">
        <w:rPr>
          <w:rFonts w:ascii="Slimbach LT" w:hAnsi="Slimbach LT"/>
          <w:sz w:val="28"/>
          <w:lang w:val="de-AT"/>
        </w:rPr>
        <w:t xml:space="preserve"> 2018</w:t>
      </w:r>
    </w:p>
    <w:p w14:paraId="1254C2C0" w14:textId="1B8229F6" w:rsidR="00CD4269" w:rsidRPr="00CD4269" w:rsidRDefault="00604F03" w:rsidP="00CD4269">
      <w:pPr>
        <w:spacing w:after="0" w:line="360" w:lineRule="auto"/>
        <w:jc w:val="both"/>
        <w:rPr>
          <w:rFonts w:ascii="Slimbach LT" w:hAnsi="Slimbach LT"/>
          <w:b/>
          <w:bCs/>
          <w:sz w:val="36"/>
        </w:rPr>
      </w:pPr>
      <w:r w:rsidRPr="00604F03">
        <w:rPr>
          <w:rFonts w:ascii="Slimbach LT" w:hAnsi="Slimbach LT"/>
          <w:b/>
          <w:bCs/>
          <w:sz w:val="36"/>
        </w:rPr>
        <w:t>Verkehrsg</w:t>
      </w:r>
      <w:r>
        <w:rPr>
          <w:rFonts w:ascii="Slimbach LT" w:hAnsi="Slimbach LT"/>
          <w:b/>
          <w:bCs/>
          <w:sz w:val="36"/>
        </w:rPr>
        <w:t>elbe Remise p</w:t>
      </w:r>
      <w:r w:rsidRPr="00604F03">
        <w:rPr>
          <w:rFonts w:ascii="Slimbach LT" w:hAnsi="Slimbach LT"/>
          <w:b/>
          <w:bCs/>
          <w:sz w:val="36"/>
        </w:rPr>
        <w:t xml:space="preserve">rägt Stadtteil </w:t>
      </w:r>
      <w:proofErr w:type="spellStart"/>
      <w:r w:rsidRPr="00604F03">
        <w:rPr>
          <w:rFonts w:ascii="Slimbach LT" w:hAnsi="Slimbach LT"/>
          <w:b/>
          <w:bCs/>
          <w:sz w:val="36"/>
        </w:rPr>
        <w:t>Budafok</w:t>
      </w:r>
      <w:proofErr w:type="spellEnd"/>
      <w:r w:rsidRPr="00604F03">
        <w:rPr>
          <w:rFonts w:ascii="Slimbach LT" w:hAnsi="Slimbach LT"/>
          <w:b/>
          <w:bCs/>
          <w:sz w:val="36"/>
        </w:rPr>
        <w:t xml:space="preserve"> in Budapest</w:t>
      </w:r>
    </w:p>
    <w:p w14:paraId="178CAB6D" w14:textId="5A5372DE" w:rsidR="00604F03" w:rsidRPr="00604F03" w:rsidRDefault="00604F03" w:rsidP="0092670E">
      <w:pPr>
        <w:autoSpaceDE w:val="0"/>
        <w:autoSpaceDN w:val="0"/>
        <w:adjustRightInd w:val="0"/>
        <w:spacing w:after="0" w:line="360" w:lineRule="auto"/>
        <w:jc w:val="both"/>
        <w:rPr>
          <w:rFonts w:cstheme="minorHAnsi"/>
          <w:b/>
          <w:bCs/>
          <w:sz w:val="24"/>
          <w:szCs w:val="24"/>
        </w:rPr>
      </w:pPr>
      <w:r w:rsidRPr="00E160E4">
        <w:rPr>
          <w:rFonts w:cstheme="minorHAnsi"/>
          <w:b/>
          <w:bCs/>
          <w:sz w:val="24"/>
          <w:szCs w:val="24"/>
        </w:rPr>
        <w:t>Funktionalität trifft auf d</w:t>
      </w:r>
      <w:r>
        <w:rPr>
          <w:rFonts w:cstheme="minorHAnsi"/>
          <w:b/>
          <w:bCs/>
          <w:sz w:val="24"/>
          <w:szCs w:val="24"/>
        </w:rPr>
        <w:t>ur</w:t>
      </w:r>
      <w:r w:rsidRPr="00E160E4">
        <w:rPr>
          <w:rFonts w:cstheme="minorHAnsi"/>
          <w:b/>
          <w:bCs/>
          <w:sz w:val="24"/>
          <w:szCs w:val="24"/>
        </w:rPr>
        <w:t xml:space="preserve">chdachte Architektur und schafft neues </w:t>
      </w:r>
      <w:r>
        <w:rPr>
          <w:rFonts w:cstheme="minorHAnsi"/>
          <w:b/>
          <w:bCs/>
          <w:sz w:val="24"/>
          <w:szCs w:val="24"/>
        </w:rPr>
        <w:t>„Z</w:t>
      </w:r>
      <w:r w:rsidRPr="00E160E4">
        <w:rPr>
          <w:rFonts w:cstheme="minorHAnsi"/>
          <w:b/>
          <w:bCs/>
          <w:sz w:val="24"/>
          <w:szCs w:val="24"/>
        </w:rPr>
        <w:t>uhause“ für 50 Straßenbahnen</w:t>
      </w:r>
    </w:p>
    <w:p w14:paraId="63E1FC45" w14:textId="782F53B8" w:rsidR="00604F03" w:rsidRPr="00604F03" w:rsidRDefault="00256896" w:rsidP="00604F03">
      <w:pPr>
        <w:autoSpaceDE w:val="0"/>
        <w:autoSpaceDN w:val="0"/>
        <w:adjustRightInd w:val="0"/>
        <w:spacing w:after="0" w:line="360" w:lineRule="auto"/>
        <w:jc w:val="both"/>
        <w:rPr>
          <w:rFonts w:ascii="Slimbach LT" w:hAnsi="Slimbach LT"/>
          <w:bCs/>
          <w:sz w:val="24"/>
          <w:szCs w:val="24"/>
        </w:rPr>
      </w:pPr>
      <w:proofErr w:type="spellStart"/>
      <w:r w:rsidRPr="00362693">
        <w:rPr>
          <w:rFonts w:ascii="Slimbach LT" w:hAnsi="Slimbach LT"/>
          <w:bCs/>
          <w:sz w:val="24"/>
          <w:szCs w:val="24"/>
        </w:rPr>
        <w:t>Marktl</w:t>
      </w:r>
      <w:proofErr w:type="spellEnd"/>
      <w:r w:rsidRPr="00362693">
        <w:rPr>
          <w:rFonts w:ascii="Slimbach LT" w:hAnsi="Slimbach LT"/>
          <w:bCs/>
          <w:sz w:val="24"/>
          <w:szCs w:val="24"/>
        </w:rPr>
        <w:t xml:space="preserve">, </w:t>
      </w:r>
      <w:r w:rsidR="00A71B06">
        <w:rPr>
          <w:rFonts w:ascii="Slimbach LT" w:hAnsi="Slimbach LT"/>
          <w:bCs/>
          <w:sz w:val="24"/>
          <w:szCs w:val="24"/>
        </w:rPr>
        <w:t>05. November</w:t>
      </w:r>
      <w:r w:rsidRPr="00362693">
        <w:rPr>
          <w:rFonts w:ascii="Slimbach LT" w:hAnsi="Slimbach LT"/>
          <w:bCs/>
          <w:sz w:val="24"/>
          <w:szCs w:val="24"/>
        </w:rPr>
        <w:t xml:space="preserve"> 2018 ‒ </w:t>
      </w:r>
      <w:r w:rsidR="00604F03" w:rsidRPr="00604F03">
        <w:rPr>
          <w:rFonts w:ascii="Slimbach LT" w:hAnsi="Slimbach LT"/>
          <w:bCs/>
          <w:sz w:val="24"/>
          <w:szCs w:val="24"/>
        </w:rPr>
        <w:t xml:space="preserve">Mit ihrem auffälligen, verkehrsgelben Dach prägt die neue Remise den Stadtteil </w:t>
      </w:r>
      <w:proofErr w:type="spellStart"/>
      <w:r w:rsidR="00604F03" w:rsidRPr="00604F03">
        <w:rPr>
          <w:rFonts w:ascii="Slimbach LT" w:hAnsi="Slimbach LT"/>
          <w:bCs/>
          <w:sz w:val="24"/>
          <w:szCs w:val="24"/>
        </w:rPr>
        <w:t>Budafok</w:t>
      </w:r>
      <w:proofErr w:type="spellEnd"/>
      <w:r w:rsidR="00604F03" w:rsidRPr="00604F03">
        <w:rPr>
          <w:rFonts w:ascii="Slimbach LT" w:hAnsi="Slimbach LT"/>
          <w:bCs/>
          <w:sz w:val="24"/>
          <w:szCs w:val="24"/>
        </w:rPr>
        <w:t xml:space="preserve"> in Budapest. Dabei trifft Funktionalität auf eine durchdachte Architektur, Tradition und Moderne. Das Bauwerk wurde vom ungarischen Architekten </w:t>
      </w:r>
      <w:proofErr w:type="spellStart"/>
      <w:r w:rsidR="00604F03" w:rsidRPr="00604F03">
        <w:rPr>
          <w:rFonts w:ascii="Slimbach LT" w:hAnsi="Slimbach LT"/>
          <w:bCs/>
          <w:sz w:val="24"/>
          <w:szCs w:val="24"/>
        </w:rPr>
        <w:t>Ákos</w:t>
      </w:r>
      <w:proofErr w:type="spellEnd"/>
      <w:r w:rsidR="00604F03" w:rsidRPr="00604F03">
        <w:rPr>
          <w:rFonts w:ascii="Slimbach LT" w:hAnsi="Slimbach LT"/>
          <w:bCs/>
          <w:sz w:val="24"/>
          <w:szCs w:val="24"/>
        </w:rPr>
        <w:t xml:space="preserve"> </w:t>
      </w:r>
      <w:proofErr w:type="spellStart"/>
      <w:r w:rsidR="00604F03" w:rsidRPr="00604F03">
        <w:rPr>
          <w:rFonts w:ascii="Slimbach LT" w:hAnsi="Slimbach LT"/>
          <w:bCs/>
          <w:sz w:val="24"/>
          <w:szCs w:val="24"/>
        </w:rPr>
        <w:t>Takács</w:t>
      </w:r>
      <w:proofErr w:type="spellEnd"/>
      <w:r w:rsidR="00604F03" w:rsidRPr="00604F03">
        <w:rPr>
          <w:rFonts w:ascii="Slimbach LT" w:hAnsi="Slimbach LT"/>
          <w:bCs/>
          <w:sz w:val="24"/>
          <w:szCs w:val="24"/>
        </w:rPr>
        <w:t xml:space="preserve">, Kreativdirektor der CÉH Gruppe, entworfen. Die neue Remise wurde mehr als 100 Jahre nach der letzten errichtet und bietet 50 Straßenbahnen ein „Zuhause“. </w:t>
      </w:r>
    </w:p>
    <w:p w14:paraId="1C22FCE5" w14:textId="0B374F18" w:rsidR="00CD4269" w:rsidRDefault="00CD4269" w:rsidP="00CD4269">
      <w:pPr>
        <w:autoSpaceDE w:val="0"/>
        <w:autoSpaceDN w:val="0"/>
        <w:adjustRightInd w:val="0"/>
        <w:spacing w:after="0" w:line="360" w:lineRule="auto"/>
        <w:jc w:val="both"/>
        <w:rPr>
          <w:rFonts w:ascii="Slimbach LT" w:hAnsi="Slimbach LT"/>
          <w:bCs/>
          <w:sz w:val="24"/>
          <w:szCs w:val="24"/>
        </w:rPr>
      </w:pPr>
    </w:p>
    <w:p w14:paraId="0D79A09E" w14:textId="0218E140" w:rsidR="00CD4269" w:rsidRDefault="00604F03" w:rsidP="00604F03">
      <w:pPr>
        <w:autoSpaceDE w:val="0"/>
        <w:autoSpaceDN w:val="0"/>
        <w:adjustRightInd w:val="0"/>
        <w:spacing w:after="0" w:line="360" w:lineRule="auto"/>
        <w:jc w:val="both"/>
        <w:rPr>
          <w:rFonts w:ascii="Slimbach LT" w:hAnsi="Slimbach LT"/>
          <w:bCs/>
          <w:sz w:val="24"/>
          <w:szCs w:val="24"/>
        </w:rPr>
      </w:pPr>
      <w:r>
        <w:rPr>
          <w:rFonts w:cstheme="minorHAnsi"/>
          <w:bCs/>
          <w:sz w:val="24"/>
          <w:szCs w:val="24"/>
        </w:rPr>
        <w:t>Der öffentliche Verkehr nimmt in der ungarischen Hauptstadt eine wichtige Rolle ein. 60 Prozent der Budapesterinnen und Budapester nutzen die öffentlichen Verkehrsmittel für den täglichen Weg in die Arbeit. Die Regierung baut das Verkehrsnetz sukzessive aus. Die alte Remise hatte für die neuen Garnituren nicht ausreichend Platz. „</w:t>
      </w:r>
      <w:r w:rsidRPr="00E160E4">
        <w:rPr>
          <w:rFonts w:cstheme="minorHAnsi"/>
          <w:bCs/>
          <w:sz w:val="24"/>
          <w:szCs w:val="24"/>
        </w:rPr>
        <w:t xml:space="preserve">Jedes Bauwerk setzt sich aus dem Material, der Konstruktion, der Funktion und der Form zusammen. Diese vier Komponenten müssen im Einklang miteinander stehen, wobei eine Komponente im Vordergrund stehen kann. Beispielsweise ist bei einer Gedenkstätte die Form maßgeblich, während bei einer Straßenbahn-Remise die funktionale Komponente bedeutender ist“, betont </w:t>
      </w:r>
      <w:proofErr w:type="spellStart"/>
      <w:r w:rsidRPr="00E160E4">
        <w:rPr>
          <w:rFonts w:cstheme="minorHAnsi"/>
          <w:bCs/>
          <w:sz w:val="24"/>
          <w:szCs w:val="24"/>
        </w:rPr>
        <w:t>Ákos</w:t>
      </w:r>
      <w:proofErr w:type="spellEnd"/>
      <w:r w:rsidRPr="00E160E4">
        <w:rPr>
          <w:rFonts w:cstheme="minorHAnsi"/>
          <w:bCs/>
          <w:sz w:val="24"/>
          <w:szCs w:val="24"/>
        </w:rPr>
        <w:t xml:space="preserve"> </w:t>
      </w:r>
      <w:proofErr w:type="spellStart"/>
      <w:r w:rsidRPr="00E160E4">
        <w:rPr>
          <w:rFonts w:cstheme="minorHAnsi"/>
          <w:bCs/>
          <w:sz w:val="24"/>
          <w:szCs w:val="24"/>
        </w:rPr>
        <w:t>Tak</w:t>
      </w:r>
      <w:r>
        <w:rPr>
          <w:rFonts w:cstheme="minorHAnsi"/>
          <w:bCs/>
          <w:sz w:val="24"/>
          <w:szCs w:val="24"/>
        </w:rPr>
        <w:t>ács</w:t>
      </w:r>
      <w:proofErr w:type="spellEnd"/>
      <w:r>
        <w:rPr>
          <w:rFonts w:cstheme="minorHAnsi"/>
          <w:bCs/>
          <w:sz w:val="24"/>
          <w:szCs w:val="24"/>
        </w:rPr>
        <w:t>, dem es wichtig war, mit der neuen Remise „die Tradition am Leben zu erhalten“.</w:t>
      </w:r>
    </w:p>
    <w:p w14:paraId="7A555184" w14:textId="3A8E4DF4" w:rsidR="00CD4269" w:rsidRDefault="00CD4269" w:rsidP="00CD4269">
      <w:pPr>
        <w:autoSpaceDE w:val="0"/>
        <w:autoSpaceDN w:val="0"/>
        <w:adjustRightInd w:val="0"/>
        <w:spacing w:after="0" w:line="360" w:lineRule="auto"/>
        <w:jc w:val="both"/>
        <w:rPr>
          <w:rFonts w:ascii="Slimbach LT" w:hAnsi="Slimbach LT"/>
          <w:bCs/>
          <w:sz w:val="24"/>
          <w:szCs w:val="24"/>
        </w:rPr>
      </w:pPr>
    </w:p>
    <w:p w14:paraId="2B255AB5" w14:textId="4B0F27F3" w:rsidR="00604F03" w:rsidRPr="00E160E4" w:rsidRDefault="00604F03" w:rsidP="00604F03">
      <w:pPr>
        <w:spacing w:after="0" w:line="360" w:lineRule="auto"/>
        <w:jc w:val="both"/>
        <w:rPr>
          <w:rFonts w:cstheme="minorHAnsi"/>
          <w:b/>
          <w:bCs/>
          <w:sz w:val="24"/>
          <w:szCs w:val="24"/>
        </w:rPr>
      </w:pPr>
      <w:r w:rsidRPr="00604F03">
        <w:rPr>
          <w:rFonts w:ascii="Slimbach LT" w:hAnsi="Slimbach LT"/>
          <w:b/>
          <w:bCs/>
          <w:sz w:val="24"/>
          <w:szCs w:val="24"/>
        </w:rPr>
        <w:t>Die Stadt muss nicht immer grau sein</w:t>
      </w:r>
    </w:p>
    <w:p w14:paraId="0116E092" w14:textId="5B7AB446" w:rsidR="005B4982" w:rsidRDefault="00604F03" w:rsidP="00CD4269">
      <w:pPr>
        <w:autoSpaceDE w:val="0"/>
        <w:autoSpaceDN w:val="0"/>
        <w:adjustRightInd w:val="0"/>
        <w:spacing w:after="0" w:line="360" w:lineRule="auto"/>
        <w:jc w:val="both"/>
        <w:rPr>
          <w:rFonts w:ascii="Slimbach LT" w:hAnsi="Slimbach LT"/>
          <w:bCs/>
          <w:sz w:val="24"/>
          <w:szCs w:val="24"/>
        </w:rPr>
      </w:pPr>
      <w:r>
        <w:rPr>
          <w:rFonts w:cstheme="minorHAnsi"/>
          <w:bCs/>
          <w:sz w:val="24"/>
          <w:szCs w:val="24"/>
        </w:rPr>
        <w:t xml:space="preserve">Die Farbe des verkehrsgelben Daches ist an die Farbe der Budapester Straßenbahnen angelehnt und signalisiert Fortschritt. </w:t>
      </w:r>
      <w:r w:rsidRPr="00E160E4">
        <w:rPr>
          <w:rFonts w:cstheme="minorHAnsi"/>
          <w:bCs/>
          <w:sz w:val="24"/>
          <w:szCs w:val="24"/>
        </w:rPr>
        <w:t xml:space="preserve">Die Form, die </w:t>
      </w:r>
      <w:r>
        <w:rPr>
          <w:rFonts w:cstheme="minorHAnsi"/>
          <w:bCs/>
          <w:sz w:val="24"/>
          <w:szCs w:val="24"/>
        </w:rPr>
        <w:t>von der</w:t>
      </w:r>
      <w:r w:rsidRPr="00E160E4">
        <w:rPr>
          <w:rFonts w:cstheme="minorHAnsi"/>
          <w:bCs/>
          <w:sz w:val="24"/>
          <w:szCs w:val="24"/>
        </w:rPr>
        <w:t xml:space="preserve"> Außenhülle </w:t>
      </w:r>
      <w:r>
        <w:rPr>
          <w:rFonts w:cstheme="minorHAnsi"/>
          <w:bCs/>
          <w:sz w:val="24"/>
          <w:szCs w:val="24"/>
        </w:rPr>
        <w:t>der</w:t>
      </w:r>
      <w:r w:rsidRPr="00E160E4">
        <w:rPr>
          <w:rFonts w:cstheme="minorHAnsi"/>
          <w:bCs/>
          <w:sz w:val="24"/>
          <w:szCs w:val="24"/>
        </w:rPr>
        <w:t xml:space="preserve"> Straßenbahnen </w:t>
      </w:r>
      <w:r>
        <w:rPr>
          <w:rFonts w:cstheme="minorHAnsi"/>
          <w:bCs/>
          <w:sz w:val="24"/>
          <w:szCs w:val="24"/>
        </w:rPr>
        <w:t>inspiriert ist</w:t>
      </w:r>
      <w:r w:rsidRPr="00E160E4">
        <w:rPr>
          <w:rFonts w:cstheme="minorHAnsi"/>
          <w:bCs/>
          <w:sz w:val="24"/>
          <w:szCs w:val="24"/>
        </w:rPr>
        <w:t>, lässt trotzdem Spielraum für individuelle Interpretationen.</w:t>
      </w:r>
      <w:r>
        <w:rPr>
          <w:rFonts w:cstheme="minorHAnsi"/>
          <w:bCs/>
          <w:sz w:val="24"/>
          <w:szCs w:val="24"/>
        </w:rPr>
        <w:t xml:space="preserve"> „</w:t>
      </w:r>
      <w:r w:rsidRPr="00E160E4">
        <w:rPr>
          <w:rFonts w:cstheme="minorHAnsi"/>
          <w:bCs/>
          <w:sz w:val="24"/>
          <w:szCs w:val="24"/>
        </w:rPr>
        <w:t xml:space="preserve">Die Farbe ist ein wichtiger Teil des Konzepts. Es war für mich von Anfang an klar, dass das Dach farbenprächtig sein muss. Die Stadt muss nicht immer grau sein, und eine Farbe kann für Wohlbefinden in </w:t>
      </w:r>
      <w:r w:rsidRPr="00E160E4">
        <w:rPr>
          <w:rFonts w:cstheme="minorHAnsi"/>
          <w:bCs/>
          <w:sz w:val="24"/>
          <w:szCs w:val="24"/>
        </w:rPr>
        <w:lastRenderedPageBreak/>
        <w:t>der gesamten Umgebung sorgen. Und da die Budapester Straßenbahnen verkehrsgelb sind, haben wir uns bei der Remise ebenfa</w:t>
      </w:r>
      <w:r>
        <w:rPr>
          <w:rFonts w:cstheme="minorHAnsi"/>
          <w:bCs/>
          <w:sz w:val="24"/>
          <w:szCs w:val="24"/>
        </w:rPr>
        <w:t>lls für diese Farbe entschieden“, erzählt der Architekt von seinem Konzept. „</w:t>
      </w:r>
      <w:r w:rsidRPr="00E160E4">
        <w:rPr>
          <w:rFonts w:cstheme="minorHAnsi"/>
          <w:bCs/>
          <w:sz w:val="24"/>
          <w:szCs w:val="24"/>
        </w:rPr>
        <w:t>Ein Objekt erweckt bei jedem Menschen unterschiedliche Gefühle, und das ist auch Sinn der Sache. Die neue Remise wirkt, und das ist gut so. Ich hoffe, sie gefällt auch den Menschen</w:t>
      </w:r>
      <w:r>
        <w:rPr>
          <w:rFonts w:cstheme="minorHAnsi"/>
          <w:bCs/>
          <w:sz w:val="24"/>
          <w:szCs w:val="24"/>
        </w:rPr>
        <w:t xml:space="preserve">, die in diesem Stadtteil leben“, unterstreicht </w:t>
      </w:r>
      <w:proofErr w:type="spellStart"/>
      <w:r>
        <w:rPr>
          <w:rFonts w:cstheme="minorHAnsi"/>
          <w:bCs/>
          <w:sz w:val="24"/>
          <w:szCs w:val="24"/>
        </w:rPr>
        <w:t>Takács</w:t>
      </w:r>
      <w:proofErr w:type="spellEnd"/>
      <w:r>
        <w:rPr>
          <w:rFonts w:cstheme="minorHAnsi"/>
          <w:bCs/>
          <w:sz w:val="24"/>
          <w:szCs w:val="24"/>
        </w:rPr>
        <w:t>.</w:t>
      </w:r>
    </w:p>
    <w:p w14:paraId="0BEA7088" w14:textId="77777777" w:rsidR="00CD4269" w:rsidRDefault="00CD4269" w:rsidP="00CD4269">
      <w:pPr>
        <w:autoSpaceDE w:val="0"/>
        <w:autoSpaceDN w:val="0"/>
        <w:adjustRightInd w:val="0"/>
        <w:spacing w:after="0" w:line="360" w:lineRule="auto"/>
        <w:jc w:val="both"/>
        <w:rPr>
          <w:rFonts w:ascii="Slimbach LT" w:hAnsi="Slimbach LT"/>
          <w:bCs/>
          <w:sz w:val="24"/>
          <w:szCs w:val="24"/>
        </w:rPr>
      </w:pPr>
    </w:p>
    <w:p w14:paraId="1C5A3588" w14:textId="77777777" w:rsidR="00604F03" w:rsidRPr="00604F03" w:rsidRDefault="00604F03" w:rsidP="00604F03">
      <w:pPr>
        <w:spacing w:after="0" w:line="360" w:lineRule="auto"/>
        <w:jc w:val="both"/>
        <w:rPr>
          <w:rFonts w:ascii="Slimbach LT" w:hAnsi="Slimbach LT"/>
          <w:b/>
          <w:bCs/>
          <w:sz w:val="24"/>
          <w:szCs w:val="24"/>
        </w:rPr>
      </w:pPr>
      <w:r w:rsidRPr="00604F03">
        <w:rPr>
          <w:rFonts w:ascii="Slimbach LT" w:hAnsi="Slimbach LT"/>
          <w:b/>
          <w:bCs/>
          <w:sz w:val="24"/>
          <w:szCs w:val="24"/>
        </w:rPr>
        <w:t>Qualität und Beständigkeit</w:t>
      </w:r>
    </w:p>
    <w:p w14:paraId="495B0BB0" w14:textId="77777777" w:rsidR="00604F03" w:rsidRPr="00604F03" w:rsidRDefault="00604F03" w:rsidP="00604F03">
      <w:pPr>
        <w:autoSpaceDE w:val="0"/>
        <w:autoSpaceDN w:val="0"/>
        <w:adjustRightInd w:val="0"/>
        <w:spacing w:after="0" w:line="360" w:lineRule="auto"/>
        <w:jc w:val="both"/>
        <w:rPr>
          <w:rFonts w:ascii="Slimbach LT" w:hAnsi="Slimbach LT"/>
          <w:bCs/>
          <w:sz w:val="24"/>
          <w:szCs w:val="24"/>
        </w:rPr>
      </w:pPr>
      <w:r w:rsidRPr="00604F03">
        <w:rPr>
          <w:rFonts w:ascii="Slimbach LT" w:hAnsi="Slimbach LT"/>
          <w:bCs/>
          <w:sz w:val="24"/>
          <w:szCs w:val="24"/>
        </w:rPr>
        <w:t xml:space="preserve">Die CÉH Gruppe wurde vor 27 Jahren gegründet und ist heute international im Hochbau-Bereich tätig. In den vergangenen Jahren wurden Projekte nicht nur in Ungarn, sondern auch in Aserbaidschan, Nigeria und Pakistan durchgeführt. CÉH beschäftigt nicht nur Architekten, sondern auch Statiker, Maschinenbauer und Elektroingenieure. „Unsere Arbeit wie auch unser Unternehmen stehen für Qualität, für hochwertige Architekturprojekte und für Beständigkeit“, betont </w:t>
      </w:r>
      <w:proofErr w:type="spellStart"/>
      <w:r w:rsidRPr="00604F03">
        <w:rPr>
          <w:rFonts w:ascii="Slimbach LT" w:hAnsi="Slimbach LT"/>
          <w:bCs/>
          <w:sz w:val="24"/>
          <w:szCs w:val="24"/>
        </w:rPr>
        <w:t>Takács</w:t>
      </w:r>
      <w:proofErr w:type="spellEnd"/>
      <w:r w:rsidRPr="00604F03">
        <w:rPr>
          <w:rFonts w:ascii="Slimbach LT" w:hAnsi="Slimbach LT"/>
          <w:bCs/>
          <w:sz w:val="24"/>
          <w:szCs w:val="24"/>
        </w:rPr>
        <w:t xml:space="preserve">. </w:t>
      </w:r>
    </w:p>
    <w:p w14:paraId="45386DA6" w14:textId="77777777" w:rsidR="00CD4269" w:rsidRPr="00CD4269" w:rsidRDefault="00CD4269" w:rsidP="00CD4269">
      <w:pPr>
        <w:autoSpaceDE w:val="0"/>
        <w:autoSpaceDN w:val="0"/>
        <w:adjustRightInd w:val="0"/>
        <w:spacing w:after="0" w:line="360" w:lineRule="auto"/>
        <w:jc w:val="both"/>
        <w:rPr>
          <w:rFonts w:ascii="Slimbach LT" w:hAnsi="Slimbach LT"/>
          <w:bCs/>
          <w:sz w:val="24"/>
          <w:szCs w:val="24"/>
        </w:rPr>
      </w:pPr>
    </w:p>
    <w:p w14:paraId="7150C8FF" w14:textId="77777777" w:rsidR="00604F03" w:rsidRPr="00604F03" w:rsidRDefault="00604F03" w:rsidP="00604F03">
      <w:pPr>
        <w:spacing w:after="0" w:line="360" w:lineRule="auto"/>
        <w:jc w:val="both"/>
        <w:rPr>
          <w:rFonts w:ascii="Slimbach LT" w:hAnsi="Slimbach LT"/>
          <w:b/>
          <w:bCs/>
          <w:sz w:val="24"/>
          <w:szCs w:val="24"/>
        </w:rPr>
      </w:pPr>
      <w:proofErr w:type="spellStart"/>
      <w:r w:rsidRPr="00604F03">
        <w:rPr>
          <w:rFonts w:ascii="Slimbach LT" w:hAnsi="Slimbach LT"/>
          <w:b/>
          <w:bCs/>
          <w:sz w:val="24"/>
          <w:szCs w:val="24"/>
        </w:rPr>
        <w:t>Prefalz</w:t>
      </w:r>
      <w:proofErr w:type="spellEnd"/>
      <w:r w:rsidRPr="00604F03">
        <w:rPr>
          <w:rFonts w:ascii="Slimbach LT" w:hAnsi="Slimbach LT"/>
          <w:b/>
          <w:bCs/>
          <w:sz w:val="24"/>
          <w:szCs w:val="24"/>
        </w:rPr>
        <w:t xml:space="preserve"> in Sonderfarbe</w:t>
      </w:r>
    </w:p>
    <w:p w14:paraId="462FAC84" w14:textId="77777777" w:rsidR="00604F03" w:rsidRPr="00604F03" w:rsidRDefault="00604F03" w:rsidP="00604F03">
      <w:pPr>
        <w:autoSpaceDE w:val="0"/>
        <w:autoSpaceDN w:val="0"/>
        <w:adjustRightInd w:val="0"/>
        <w:spacing w:after="0" w:line="360" w:lineRule="auto"/>
        <w:jc w:val="both"/>
        <w:rPr>
          <w:rFonts w:ascii="Slimbach LT" w:hAnsi="Slimbach LT"/>
          <w:bCs/>
          <w:sz w:val="24"/>
          <w:szCs w:val="24"/>
        </w:rPr>
      </w:pPr>
      <w:r w:rsidRPr="00604F03">
        <w:rPr>
          <w:rFonts w:ascii="Slimbach LT" w:hAnsi="Slimbach LT"/>
          <w:bCs/>
          <w:sz w:val="24"/>
          <w:szCs w:val="24"/>
        </w:rPr>
        <w:t xml:space="preserve">Zum Einsatz kam bei der Remise in Budapest </w:t>
      </w:r>
      <w:proofErr w:type="spellStart"/>
      <w:r w:rsidRPr="00604F03">
        <w:rPr>
          <w:rFonts w:ascii="Slimbach LT" w:hAnsi="Slimbach LT"/>
          <w:bCs/>
          <w:sz w:val="24"/>
          <w:szCs w:val="24"/>
        </w:rPr>
        <w:t>Prefalz</w:t>
      </w:r>
      <w:proofErr w:type="spellEnd"/>
      <w:r w:rsidRPr="00604F03">
        <w:rPr>
          <w:rFonts w:ascii="Slimbach LT" w:hAnsi="Slimbach LT"/>
          <w:bCs/>
          <w:sz w:val="24"/>
          <w:szCs w:val="24"/>
        </w:rPr>
        <w:t xml:space="preserve"> Doppelstehfalzeindeckung aus 0,7 mm starkem Aluminium in der Sonderfarbe verkehrsgelb. „Das PREFA Material hat unseren ästhetischen und technischen Anforderungen genau entsprochen, und auch die Liefersicherheit in der Spezialfarbe war gewährleistet. Ein weiterer Faktor für uns war die Langlebigkeit des Materials“, erzählt der Architekt. Für die </w:t>
      </w:r>
      <w:proofErr w:type="spellStart"/>
      <w:r w:rsidRPr="00604F03">
        <w:rPr>
          <w:rFonts w:ascii="Slimbach LT" w:hAnsi="Slimbach LT"/>
          <w:bCs/>
          <w:sz w:val="24"/>
          <w:szCs w:val="24"/>
        </w:rPr>
        <w:t>Verlegearbeiten</w:t>
      </w:r>
      <w:proofErr w:type="spellEnd"/>
      <w:r w:rsidRPr="00604F03">
        <w:rPr>
          <w:rFonts w:ascii="Slimbach LT" w:hAnsi="Slimbach LT"/>
          <w:bCs/>
          <w:sz w:val="24"/>
          <w:szCs w:val="24"/>
        </w:rPr>
        <w:t xml:space="preserve"> war der ungarische Traditionsbetrieb </w:t>
      </w:r>
      <w:proofErr w:type="spellStart"/>
      <w:r w:rsidRPr="00604F03">
        <w:rPr>
          <w:rFonts w:ascii="Slimbach LT" w:hAnsi="Slimbach LT"/>
          <w:bCs/>
          <w:sz w:val="24"/>
          <w:szCs w:val="24"/>
        </w:rPr>
        <w:t>Horex</w:t>
      </w:r>
      <w:proofErr w:type="spellEnd"/>
      <w:r w:rsidRPr="00604F03">
        <w:rPr>
          <w:rFonts w:ascii="Slimbach LT" w:hAnsi="Slimbach LT"/>
          <w:bCs/>
          <w:sz w:val="24"/>
          <w:szCs w:val="24"/>
        </w:rPr>
        <w:t xml:space="preserve"> zuständig. Das Unternehmen ist nicht nur für seine Großprojekte bekannt, sondern auch für komplexe Ornament-Arbeiten: „Unsere Aufträge erstrecken sich von Neubauten bis zur Sanierung denkmalgeschützter Gebäude. Wir arbeiten in ganz Ungarn, waren aber auch bei Projekten in Madrid und Frankreich sowie bei der Fassadensanierung des Wiener Rathauses im Einsatz“, erzählt Geschäftsführer </w:t>
      </w:r>
      <w:proofErr w:type="spellStart"/>
      <w:r w:rsidRPr="00604F03">
        <w:rPr>
          <w:rFonts w:ascii="Slimbach LT" w:hAnsi="Slimbach LT"/>
          <w:bCs/>
          <w:sz w:val="24"/>
          <w:szCs w:val="24"/>
        </w:rPr>
        <w:t>Zoltán</w:t>
      </w:r>
      <w:proofErr w:type="spellEnd"/>
      <w:r w:rsidRPr="00604F03">
        <w:rPr>
          <w:rFonts w:ascii="Slimbach LT" w:hAnsi="Slimbach LT"/>
          <w:bCs/>
          <w:sz w:val="24"/>
          <w:szCs w:val="24"/>
        </w:rPr>
        <w:t xml:space="preserve"> </w:t>
      </w:r>
      <w:proofErr w:type="spellStart"/>
      <w:r w:rsidRPr="00604F03">
        <w:rPr>
          <w:rFonts w:ascii="Slimbach LT" w:hAnsi="Slimbach LT"/>
          <w:bCs/>
          <w:sz w:val="24"/>
          <w:szCs w:val="24"/>
        </w:rPr>
        <w:t>Reznicsek</w:t>
      </w:r>
      <w:proofErr w:type="spellEnd"/>
      <w:r w:rsidRPr="00604F03">
        <w:rPr>
          <w:rFonts w:ascii="Slimbach LT" w:hAnsi="Slimbach LT"/>
          <w:bCs/>
          <w:sz w:val="24"/>
          <w:szCs w:val="24"/>
        </w:rPr>
        <w:t xml:space="preserve">, der in dritter Generation </w:t>
      </w:r>
      <w:proofErr w:type="spellStart"/>
      <w:r w:rsidRPr="00604F03">
        <w:rPr>
          <w:rFonts w:ascii="Slimbach LT" w:hAnsi="Slimbach LT"/>
          <w:bCs/>
          <w:sz w:val="24"/>
          <w:szCs w:val="24"/>
        </w:rPr>
        <w:t>Horex</w:t>
      </w:r>
      <w:proofErr w:type="spellEnd"/>
      <w:r w:rsidRPr="00604F03">
        <w:rPr>
          <w:rFonts w:ascii="Slimbach LT" w:hAnsi="Slimbach LT"/>
          <w:bCs/>
          <w:sz w:val="24"/>
          <w:szCs w:val="24"/>
        </w:rPr>
        <w:t xml:space="preserve"> führt. An dem Projekt waren rund zehn seiner Mitarbeiter tätig.  </w:t>
      </w:r>
    </w:p>
    <w:p w14:paraId="38773069" w14:textId="77777777" w:rsidR="00CD4269" w:rsidRPr="00604F03" w:rsidRDefault="00CD4269" w:rsidP="00604F03">
      <w:pPr>
        <w:autoSpaceDE w:val="0"/>
        <w:autoSpaceDN w:val="0"/>
        <w:adjustRightInd w:val="0"/>
        <w:spacing w:after="0" w:line="360" w:lineRule="auto"/>
        <w:jc w:val="both"/>
        <w:rPr>
          <w:rFonts w:ascii="Slimbach LT" w:hAnsi="Slimbach LT"/>
          <w:bCs/>
          <w:sz w:val="24"/>
          <w:szCs w:val="24"/>
        </w:rPr>
      </w:pPr>
    </w:p>
    <w:p w14:paraId="4F88EB02" w14:textId="77777777" w:rsidR="00CD4269" w:rsidRPr="003C5D11" w:rsidRDefault="00CD4269" w:rsidP="00CD4269">
      <w:pPr>
        <w:autoSpaceDE w:val="0"/>
        <w:autoSpaceDN w:val="0"/>
        <w:adjustRightInd w:val="0"/>
        <w:spacing w:after="0" w:line="240" w:lineRule="auto"/>
        <w:rPr>
          <w:rFonts w:cstheme="minorHAnsi"/>
          <w:bCs/>
          <w:sz w:val="24"/>
          <w:szCs w:val="24"/>
        </w:rPr>
      </w:pPr>
    </w:p>
    <w:p w14:paraId="5191DB56" w14:textId="4D5FA844" w:rsidR="00243A1A" w:rsidRDefault="00243A1A" w:rsidP="00243A1A">
      <w:pPr>
        <w:spacing w:after="0" w:line="360" w:lineRule="auto"/>
        <w:jc w:val="both"/>
        <w:rPr>
          <w:rFonts w:ascii="Slimbach LT" w:hAnsi="Slimbach LT"/>
          <w:sz w:val="24"/>
          <w:szCs w:val="24"/>
        </w:rPr>
      </w:pP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644DAC" w:rsidRPr="006430B7" w14:paraId="25EB9F21" w14:textId="77777777" w:rsidTr="000671FA">
        <w:tc>
          <w:tcPr>
            <w:tcW w:w="9049" w:type="dxa"/>
            <w:shd w:val="pct12" w:color="auto" w:fill="auto"/>
          </w:tcPr>
          <w:p w14:paraId="130E47F8" w14:textId="0DACCB85" w:rsidR="00644DAC" w:rsidRPr="006430B7" w:rsidRDefault="00644DAC" w:rsidP="00604F03">
            <w:pPr>
              <w:spacing w:line="312" w:lineRule="auto"/>
              <w:jc w:val="both"/>
              <w:rPr>
                <w:rFonts w:ascii="Slimbach LT" w:hAnsi="Slimbach LT"/>
                <w:sz w:val="24"/>
                <w:lang w:val="de-AT"/>
              </w:rPr>
            </w:pPr>
            <w:r w:rsidRPr="006430B7">
              <w:rPr>
                <w:rFonts w:ascii="Slimbach LT" w:hAnsi="Slimbach LT"/>
                <w:b/>
                <w:sz w:val="24"/>
                <w:lang w:val="de-AT"/>
              </w:rPr>
              <w:lastRenderedPageBreak/>
              <w:t xml:space="preserve">Produktbox </w:t>
            </w:r>
            <w:proofErr w:type="spellStart"/>
            <w:r>
              <w:rPr>
                <w:rFonts w:ascii="Slimbach LT" w:hAnsi="Slimbach LT"/>
                <w:b/>
                <w:sz w:val="24"/>
                <w:lang w:val="de-AT"/>
              </w:rPr>
              <w:t>Prefalz</w:t>
            </w:r>
            <w:proofErr w:type="spellEnd"/>
          </w:p>
        </w:tc>
      </w:tr>
      <w:tr w:rsidR="00644DAC" w:rsidRPr="006430B7" w14:paraId="6F959348" w14:textId="77777777" w:rsidTr="000671FA">
        <w:tc>
          <w:tcPr>
            <w:tcW w:w="9049" w:type="dxa"/>
            <w:shd w:val="pct12" w:color="auto" w:fill="auto"/>
          </w:tcPr>
          <w:p w14:paraId="5B448B01" w14:textId="77777777" w:rsidR="00644DAC" w:rsidRPr="006430B7" w:rsidRDefault="00644DAC" w:rsidP="000671FA">
            <w:pPr>
              <w:jc w:val="both"/>
              <w:rPr>
                <w:rFonts w:ascii="Slimbach LT" w:hAnsi="Slimbach LT"/>
                <w:b/>
                <w:sz w:val="24"/>
                <w:lang w:val="de-AT"/>
              </w:rPr>
            </w:pPr>
            <w:r w:rsidRPr="006430B7">
              <w:rPr>
                <w:rFonts w:ascii="Slimbach LT" w:hAnsi="Slimbach LT"/>
                <w:sz w:val="24"/>
                <w:lang w:val="de-AT"/>
              </w:rPr>
              <w:t>Material: Aluminium,</w:t>
            </w:r>
            <w:r w:rsidRPr="006430B7">
              <w:rPr>
                <w:rStyle w:val="A1"/>
              </w:rPr>
              <w:t xml:space="preserve"> </w:t>
            </w:r>
            <w:r w:rsidRPr="006430B7">
              <w:rPr>
                <w:rFonts w:ascii="Slimbach LT" w:hAnsi="Slimbach LT"/>
                <w:sz w:val="24"/>
                <w:lang w:val="de-AT"/>
              </w:rPr>
              <w:t xml:space="preserve">0,7 mm </w:t>
            </w:r>
            <w:r>
              <w:rPr>
                <w:rFonts w:ascii="Slimbach LT" w:hAnsi="Slimbach LT"/>
                <w:sz w:val="24"/>
                <w:lang w:val="de-AT"/>
              </w:rPr>
              <w:t>stark, Zweischicht-Einbrennlackierung</w:t>
            </w:r>
          </w:p>
        </w:tc>
      </w:tr>
      <w:tr w:rsidR="00644DAC" w:rsidRPr="006430B7" w14:paraId="2EA1AB8D" w14:textId="77777777" w:rsidTr="000671FA">
        <w:tc>
          <w:tcPr>
            <w:tcW w:w="9049" w:type="dxa"/>
            <w:shd w:val="pct12" w:color="auto" w:fill="auto"/>
          </w:tcPr>
          <w:p w14:paraId="58401CE7" w14:textId="2FB2CEBF" w:rsidR="00644DAC" w:rsidRPr="006430B7" w:rsidRDefault="00644DAC" w:rsidP="004E35B0">
            <w:pPr>
              <w:spacing w:line="312" w:lineRule="auto"/>
              <w:jc w:val="both"/>
              <w:rPr>
                <w:rFonts w:ascii="Slimbach LT" w:hAnsi="Slimbach LT"/>
                <w:sz w:val="24"/>
                <w:lang w:val="de-AT"/>
              </w:rPr>
            </w:pPr>
            <w:r w:rsidRPr="006430B7">
              <w:rPr>
                <w:rFonts w:ascii="Slimbach LT" w:hAnsi="Slimbach LT"/>
                <w:sz w:val="24"/>
                <w:lang w:val="de-AT"/>
              </w:rPr>
              <w:t xml:space="preserve">Farbe: </w:t>
            </w:r>
            <w:r w:rsidR="004E35B0">
              <w:rPr>
                <w:rFonts w:ascii="Slimbach LT" w:hAnsi="Slimbach LT"/>
                <w:sz w:val="24"/>
                <w:lang w:val="de-AT"/>
              </w:rPr>
              <w:t>Sonderfarbe Verkehrsgelb</w:t>
            </w:r>
          </w:p>
        </w:tc>
      </w:tr>
      <w:tr w:rsidR="00644DAC" w:rsidRPr="006430B7" w14:paraId="0CFD5ED4" w14:textId="77777777" w:rsidTr="000671FA">
        <w:trPr>
          <w:trHeight w:val="180"/>
        </w:trPr>
        <w:tc>
          <w:tcPr>
            <w:tcW w:w="9049" w:type="dxa"/>
            <w:shd w:val="pct12" w:color="auto" w:fill="auto"/>
          </w:tcPr>
          <w:p w14:paraId="0B3F0DB4" w14:textId="46C3CBE2" w:rsidR="00644DAC" w:rsidRPr="006430B7" w:rsidRDefault="00644DAC" w:rsidP="00644DAC">
            <w:pPr>
              <w:spacing w:line="312" w:lineRule="auto"/>
              <w:jc w:val="both"/>
              <w:rPr>
                <w:rFonts w:ascii="Slimbach LT" w:hAnsi="Slimbach LT"/>
                <w:sz w:val="24"/>
                <w:lang w:val="de-AT"/>
              </w:rPr>
            </w:pPr>
            <w:r w:rsidRPr="006430B7">
              <w:rPr>
                <w:rFonts w:ascii="Slimbach LT" w:hAnsi="Slimbach LT"/>
                <w:sz w:val="24"/>
                <w:lang w:val="de-AT"/>
              </w:rPr>
              <w:t xml:space="preserve">Gewicht: </w:t>
            </w:r>
            <w:r>
              <w:rPr>
                <w:rFonts w:ascii="Slimbach LT" w:hAnsi="Slimbach LT"/>
                <w:sz w:val="24"/>
                <w:lang w:val="de-AT"/>
              </w:rPr>
              <w:t>ca. 2,3</w:t>
            </w:r>
            <w:r w:rsidRPr="006430B7">
              <w:rPr>
                <w:rFonts w:ascii="Slimbach LT" w:hAnsi="Slimbach LT"/>
                <w:sz w:val="24"/>
                <w:lang w:val="de-AT"/>
              </w:rPr>
              <w:t xml:space="preserve"> kg/m</w:t>
            </w:r>
            <w:r w:rsidRPr="006430B7">
              <w:rPr>
                <w:rFonts w:ascii="Slimbach LT" w:hAnsi="Slimbach LT"/>
                <w:sz w:val="24"/>
                <w:vertAlign w:val="superscript"/>
                <w:lang w:val="de-AT"/>
              </w:rPr>
              <w:t>2</w:t>
            </w:r>
          </w:p>
        </w:tc>
      </w:tr>
    </w:tbl>
    <w:p w14:paraId="69C704C1" w14:textId="77777777" w:rsidR="00644DAC" w:rsidRPr="006430B7" w:rsidRDefault="00644DAC" w:rsidP="00243A1A">
      <w:pPr>
        <w:spacing w:after="0" w:line="360" w:lineRule="auto"/>
        <w:jc w:val="both"/>
        <w:rPr>
          <w:rFonts w:ascii="Slimbach LT" w:hAnsi="Slimbach LT"/>
          <w:sz w:val="24"/>
          <w:szCs w:val="24"/>
        </w:rPr>
      </w:pPr>
    </w:p>
    <w:p w14:paraId="639843B0" w14:textId="77777777" w:rsidR="00813713" w:rsidRPr="006430B7" w:rsidRDefault="00813713" w:rsidP="00813713">
      <w:pPr>
        <w:spacing w:after="0" w:line="312" w:lineRule="auto"/>
        <w:jc w:val="both"/>
        <w:rPr>
          <w:rFonts w:ascii="Slimbach LT" w:hAnsi="Slimbach LT"/>
          <w:sz w:val="24"/>
          <w:szCs w:val="24"/>
          <w:lang w:val="de-AT"/>
        </w:rPr>
      </w:pPr>
    </w:p>
    <w:p w14:paraId="6744F021" w14:textId="77777777" w:rsidR="004C1612" w:rsidRPr="006430B7" w:rsidRDefault="004C1612" w:rsidP="004C1612">
      <w:pPr>
        <w:spacing w:after="0" w:line="312" w:lineRule="auto"/>
        <w:jc w:val="both"/>
        <w:rPr>
          <w:rFonts w:ascii="Slimbach LT" w:hAnsi="Slimbach LT"/>
          <w:sz w:val="20"/>
          <w:szCs w:val="20"/>
          <w:lang w:val="de-AT"/>
        </w:rPr>
      </w:pPr>
      <w:r w:rsidRPr="006430B7">
        <w:rPr>
          <w:rFonts w:ascii="Slimbach LT" w:hAnsi="Slimbach LT"/>
          <w:b/>
          <w:sz w:val="20"/>
          <w:szCs w:val="20"/>
          <w:lang w:val="de-AT"/>
        </w:rPr>
        <w:t>PREFA im Überblick.</w:t>
      </w:r>
      <w:r w:rsidRPr="006430B7">
        <w:rPr>
          <w:rFonts w:ascii="Slimbach LT" w:hAnsi="Slimbach LT"/>
          <w:sz w:val="20"/>
          <w:szCs w:val="20"/>
          <w:lang w:val="de-AT"/>
        </w:rPr>
        <w:t xml:space="preserve"> Die PREFA Aluminiumprodukte GmbH ist europaweit seit </w:t>
      </w:r>
      <w:r w:rsidR="00294F20">
        <w:rPr>
          <w:rFonts w:ascii="Slimbach LT" w:hAnsi="Slimbach LT"/>
          <w:sz w:val="20"/>
          <w:szCs w:val="20"/>
          <w:lang w:val="de-AT"/>
        </w:rPr>
        <w:t xml:space="preserve">über </w:t>
      </w:r>
      <w:r w:rsidRPr="006430B7">
        <w:rPr>
          <w:rFonts w:ascii="Slimbach LT" w:hAnsi="Slimbach LT"/>
          <w:sz w:val="20"/>
          <w:szCs w:val="20"/>
          <w:lang w:val="de-AT"/>
        </w:rPr>
        <w:t xml:space="preserve">70 Jahren mit der Entwicklung, Produktion und Vermarktung von Dach- und Fassadensystemen aus Aluminium erfolgreich. Insgesamt beschäftigt </w:t>
      </w:r>
      <w:r w:rsidR="008561B7" w:rsidRPr="006430B7">
        <w:rPr>
          <w:rFonts w:ascii="Slimbach LT" w:hAnsi="Slimbach LT"/>
          <w:sz w:val="20"/>
          <w:szCs w:val="20"/>
          <w:lang w:val="de-AT"/>
        </w:rPr>
        <w:t xml:space="preserve">die PREFA Gruppe </w:t>
      </w:r>
      <w:r w:rsidR="00EA5F1B" w:rsidRPr="006430B7">
        <w:rPr>
          <w:rFonts w:ascii="Slimbach LT" w:hAnsi="Slimbach LT"/>
          <w:sz w:val="20"/>
          <w:szCs w:val="20"/>
          <w:lang w:val="de-AT"/>
        </w:rPr>
        <w:t xml:space="preserve">rund </w:t>
      </w:r>
      <w:r w:rsidR="008561B7" w:rsidRPr="006430B7">
        <w:rPr>
          <w:rFonts w:ascii="Slimbach LT" w:hAnsi="Slimbach LT"/>
          <w:sz w:val="20"/>
          <w:szCs w:val="20"/>
          <w:lang w:val="de-AT"/>
        </w:rPr>
        <w:t>500</w:t>
      </w:r>
      <w:r w:rsidR="00DD5C8B" w:rsidRPr="006430B7">
        <w:rPr>
          <w:rFonts w:ascii="Slimbach LT" w:hAnsi="Slimbach LT"/>
          <w:sz w:val="20"/>
          <w:szCs w:val="20"/>
          <w:lang w:val="de-AT"/>
        </w:rPr>
        <w:t xml:space="preserve"> </w:t>
      </w:r>
      <w:proofErr w:type="spellStart"/>
      <w:r w:rsidRPr="006430B7">
        <w:rPr>
          <w:rFonts w:ascii="Slimbach LT" w:hAnsi="Slimbach LT"/>
          <w:sz w:val="20"/>
          <w:szCs w:val="20"/>
          <w:lang w:val="de-AT"/>
        </w:rPr>
        <w:t>MitarbeiterInnen</w:t>
      </w:r>
      <w:proofErr w:type="spellEnd"/>
      <w:r w:rsidRPr="006430B7">
        <w:rPr>
          <w:rFonts w:ascii="Slimbach LT" w:hAnsi="Slimbach LT"/>
          <w:sz w:val="20"/>
          <w:szCs w:val="20"/>
          <w:lang w:val="de-AT"/>
        </w:rPr>
        <w:t xml:space="preserve">. Die Produktion der über 4.000 hochwertigen Produkte erfolgt ausschließlich in Österreich und Deutschland. PREFA ist Teil der Unternehmensgruppe des Industriellen Dr. Cornelius Grupp, die weltweit über </w:t>
      </w:r>
      <w:r w:rsidR="00290597" w:rsidRPr="006430B7">
        <w:rPr>
          <w:rFonts w:ascii="Slimbach LT" w:hAnsi="Slimbach LT"/>
          <w:sz w:val="20"/>
          <w:szCs w:val="20"/>
          <w:lang w:val="de-AT"/>
        </w:rPr>
        <w:t>8</w:t>
      </w:r>
      <w:r w:rsidRPr="006430B7">
        <w:rPr>
          <w:rFonts w:ascii="Slimbach LT" w:hAnsi="Slimbach LT"/>
          <w:sz w:val="20"/>
          <w:szCs w:val="20"/>
          <w:lang w:val="de-AT"/>
        </w:rPr>
        <w:t xml:space="preserve">.000 </w:t>
      </w:r>
      <w:proofErr w:type="spellStart"/>
      <w:r w:rsidRPr="006430B7">
        <w:rPr>
          <w:rFonts w:ascii="Slimbach LT" w:hAnsi="Slimbach LT"/>
          <w:sz w:val="20"/>
          <w:szCs w:val="20"/>
          <w:lang w:val="de-AT"/>
        </w:rPr>
        <w:t>Mitarbeiter</w:t>
      </w:r>
      <w:r w:rsidR="005F160F" w:rsidRPr="006430B7">
        <w:rPr>
          <w:rFonts w:ascii="Slimbach LT" w:hAnsi="Slimbach LT"/>
          <w:sz w:val="20"/>
          <w:szCs w:val="20"/>
          <w:lang w:val="de-AT"/>
        </w:rPr>
        <w:t>Innen</w:t>
      </w:r>
      <w:proofErr w:type="spellEnd"/>
      <w:r w:rsidRPr="006430B7">
        <w:rPr>
          <w:rFonts w:ascii="Slimbach LT" w:hAnsi="Slimbach LT"/>
          <w:sz w:val="20"/>
          <w:szCs w:val="20"/>
          <w:lang w:val="de-AT"/>
        </w:rPr>
        <w:t xml:space="preserve"> in über </w:t>
      </w:r>
      <w:r w:rsidR="00290597" w:rsidRPr="006430B7">
        <w:rPr>
          <w:rFonts w:ascii="Slimbach LT" w:hAnsi="Slimbach LT"/>
          <w:sz w:val="20"/>
          <w:szCs w:val="20"/>
          <w:lang w:val="de-AT"/>
        </w:rPr>
        <w:t>4</w:t>
      </w:r>
      <w:r w:rsidRPr="006430B7">
        <w:rPr>
          <w:rFonts w:ascii="Slimbach LT" w:hAnsi="Slimbach LT"/>
          <w:sz w:val="20"/>
          <w:szCs w:val="20"/>
          <w:lang w:val="de-AT"/>
        </w:rPr>
        <w:t>0 Produktionsstandorten beschäftigt.</w:t>
      </w:r>
    </w:p>
    <w:p w14:paraId="5ABD1D52" w14:textId="77777777" w:rsidR="00C77C04" w:rsidRPr="006430B7" w:rsidRDefault="00C77C04" w:rsidP="00B95593">
      <w:pPr>
        <w:spacing w:after="0" w:line="312" w:lineRule="auto"/>
        <w:jc w:val="both"/>
        <w:rPr>
          <w:rFonts w:ascii="Slimbach LT" w:hAnsi="Slimbach LT"/>
          <w:b/>
          <w:sz w:val="24"/>
          <w:lang w:val="de-AT"/>
        </w:rPr>
      </w:pPr>
    </w:p>
    <w:p w14:paraId="241AABE1" w14:textId="77777777" w:rsidR="00CC474E" w:rsidRPr="006430B7" w:rsidRDefault="00CC474E" w:rsidP="0088020F">
      <w:pPr>
        <w:spacing w:after="0" w:line="312" w:lineRule="auto"/>
        <w:jc w:val="both"/>
        <w:rPr>
          <w:rFonts w:ascii="Slimbach LT" w:hAnsi="Slimbach LT"/>
          <w:b/>
          <w:sz w:val="24"/>
          <w:lang w:val="de-AT"/>
        </w:rPr>
      </w:pPr>
    </w:p>
    <w:p w14:paraId="2E40AF74" w14:textId="77777777" w:rsidR="00911DC6" w:rsidRDefault="00911DC6" w:rsidP="0088020F">
      <w:pPr>
        <w:spacing w:after="0" w:line="312" w:lineRule="auto"/>
        <w:jc w:val="both"/>
        <w:rPr>
          <w:rFonts w:ascii="Slimbach LT" w:hAnsi="Slimbach LT"/>
          <w:b/>
          <w:sz w:val="16"/>
          <w:szCs w:val="16"/>
          <w:lang w:val="pt-PT"/>
        </w:rPr>
      </w:pPr>
      <w:r w:rsidRPr="006430B7">
        <w:rPr>
          <w:rFonts w:ascii="Slimbach LT" w:hAnsi="Slimbach LT"/>
          <w:b/>
          <w:sz w:val="16"/>
          <w:szCs w:val="16"/>
          <w:lang w:val="pt-PT"/>
        </w:rPr>
        <w:t>Fotocredit:</w:t>
      </w:r>
      <w:r w:rsidR="000739EE" w:rsidRPr="006430B7">
        <w:rPr>
          <w:rFonts w:ascii="Slimbach LT" w:hAnsi="Slimbach LT"/>
          <w:b/>
          <w:sz w:val="16"/>
          <w:szCs w:val="16"/>
          <w:lang w:val="pt-PT"/>
        </w:rPr>
        <w:t xml:space="preserve"> PREFA/Croce</w:t>
      </w:r>
      <w:r w:rsidR="00C85D72">
        <w:rPr>
          <w:rFonts w:ascii="Slimbach LT" w:hAnsi="Slimbach LT"/>
          <w:b/>
          <w:sz w:val="16"/>
          <w:szCs w:val="16"/>
          <w:lang w:val="pt-PT"/>
        </w:rPr>
        <w:t xml:space="preserve"> &amp; Wir</w:t>
      </w:r>
    </w:p>
    <w:p w14:paraId="0297D162" w14:textId="77777777" w:rsidR="00C85D72" w:rsidRDefault="00C85D72" w:rsidP="0088020F">
      <w:pPr>
        <w:spacing w:after="0" w:line="312" w:lineRule="auto"/>
        <w:jc w:val="both"/>
        <w:rPr>
          <w:rFonts w:ascii="Slimbach LT" w:hAnsi="Slimbach LT"/>
          <w:b/>
          <w:sz w:val="16"/>
          <w:szCs w:val="16"/>
          <w:lang w:val="pt-PT"/>
        </w:rPr>
      </w:pPr>
    </w:p>
    <w:p w14:paraId="102B5F71" w14:textId="77777777" w:rsidR="0061392A" w:rsidRPr="006430B7" w:rsidRDefault="0061392A" w:rsidP="0061392A">
      <w:pPr>
        <w:spacing w:after="0" w:line="312" w:lineRule="auto"/>
        <w:jc w:val="both"/>
        <w:rPr>
          <w:rFonts w:ascii="Slimbach LT" w:eastAsia="Calibri" w:hAnsi="Slimbach LT" w:cs="Times New Roman"/>
          <w:b/>
          <w:sz w:val="16"/>
          <w:szCs w:val="16"/>
          <w:u w:val="single"/>
          <w:lang w:val="pt-PT" w:eastAsia="en-US"/>
        </w:rPr>
      </w:pPr>
      <w:r w:rsidRPr="006430B7">
        <w:rPr>
          <w:rFonts w:ascii="Slimbach LT" w:eastAsia="Calibri" w:hAnsi="Slimbach LT" w:cs="Times New Roman"/>
          <w:b/>
          <w:sz w:val="16"/>
          <w:szCs w:val="16"/>
          <w:u w:val="single"/>
          <w:lang w:val="pt-PT" w:eastAsia="en-US"/>
        </w:rPr>
        <w:t xml:space="preserve">Presseinformationen </w:t>
      </w:r>
      <w:r>
        <w:rPr>
          <w:rFonts w:ascii="Slimbach LT" w:eastAsia="Calibri" w:hAnsi="Slimbach LT" w:cs="Times New Roman"/>
          <w:b/>
          <w:sz w:val="16"/>
          <w:szCs w:val="16"/>
          <w:u w:val="single"/>
          <w:lang w:val="pt-PT" w:eastAsia="en-US"/>
        </w:rPr>
        <w:t>Österreich</w:t>
      </w:r>
      <w:r w:rsidRPr="006430B7">
        <w:rPr>
          <w:rFonts w:ascii="Slimbach LT" w:eastAsia="Calibri" w:hAnsi="Slimbach LT" w:cs="Times New Roman"/>
          <w:b/>
          <w:sz w:val="16"/>
          <w:szCs w:val="16"/>
          <w:u w:val="single"/>
          <w:lang w:val="pt-PT" w:eastAsia="en-US"/>
        </w:rPr>
        <w:t>:</w:t>
      </w:r>
    </w:p>
    <w:p w14:paraId="6AF922E7"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Rainer Neubacher</w:t>
      </w:r>
    </w:p>
    <w:p w14:paraId="72BCE23D"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 xml:space="preserve">Teamleitung </w:t>
      </w:r>
      <w:r w:rsidRPr="006430B7">
        <w:rPr>
          <w:rFonts w:ascii="Slimbach LT" w:eastAsia="Calibri" w:hAnsi="Slimbach LT" w:cs="Times New Roman"/>
          <w:sz w:val="16"/>
          <w:szCs w:val="16"/>
          <w:lang w:val="pt-PT" w:eastAsia="en-US"/>
        </w:rPr>
        <w:t>Marketing</w:t>
      </w:r>
      <w:r>
        <w:rPr>
          <w:rFonts w:ascii="Slimbach LT" w:eastAsia="Calibri" w:hAnsi="Slimbach LT" w:cs="Times New Roman"/>
          <w:sz w:val="16"/>
          <w:szCs w:val="16"/>
          <w:lang w:val="pt-PT" w:eastAsia="en-US"/>
        </w:rPr>
        <w:t xml:space="preserve"> AT</w:t>
      </w:r>
    </w:p>
    <w:p w14:paraId="534034C5"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PREFA Aluminiumprodukte GmbH</w:t>
      </w:r>
    </w:p>
    <w:p w14:paraId="61355815"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Werkstraße 1, A-3182 Marktl/Lilienfeld</w:t>
      </w:r>
    </w:p>
    <w:p w14:paraId="56811AC2"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T: +43 2762 502-835</w:t>
      </w:r>
    </w:p>
    <w:p w14:paraId="31EC6B5B"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E: r</w:t>
      </w:r>
      <w:r>
        <w:rPr>
          <w:rFonts w:ascii="Slimbach LT" w:eastAsia="Calibri" w:hAnsi="Slimbach LT" w:cs="Times New Roman"/>
          <w:sz w:val="16"/>
          <w:szCs w:val="16"/>
          <w:lang w:val="pt-PT" w:eastAsia="en-US"/>
        </w:rPr>
        <w:t>ainer.neubacher</w:t>
      </w:r>
      <w:r w:rsidRPr="006430B7">
        <w:rPr>
          <w:rFonts w:ascii="Slimbach LT" w:eastAsia="Calibri" w:hAnsi="Slimbach LT" w:cs="Times New Roman"/>
          <w:sz w:val="16"/>
          <w:szCs w:val="16"/>
          <w:lang w:val="pt-PT" w:eastAsia="en-US"/>
        </w:rPr>
        <w:t>@prefa.com</w:t>
      </w:r>
    </w:p>
    <w:p w14:paraId="55DF4498" w14:textId="77777777" w:rsidR="0061392A" w:rsidRPr="006430B7" w:rsidRDefault="0061392A" w:rsidP="0061392A">
      <w:pPr>
        <w:spacing w:after="0" w:line="312" w:lineRule="auto"/>
        <w:jc w:val="both"/>
        <w:rPr>
          <w:rFonts w:ascii="Slimbach LT" w:hAnsi="Slimbach LT"/>
          <w:sz w:val="16"/>
          <w:szCs w:val="16"/>
          <w:lang w:val="pt-PT"/>
        </w:rPr>
      </w:pPr>
    </w:p>
    <w:p w14:paraId="71576072" w14:textId="77777777" w:rsidR="0061392A" w:rsidRPr="006430B7" w:rsidRDefault="0061392A" w:rsidP="0061392A">
      <w:pPr>
        <w:spacing w:after="0" w:line="312" w:lineRule="auto"/>
        <w:jc w:val="both"/>
        <w:rPr>
          <w:rFonts w:ascii="Slimbach LT" w:hAnsi="Slimbach LT"/>
          <w:b/>
          <w:sz w:val="16"/>
          <w:szCs w:val="16"/>
          <w:u w:val="single"/>
          <w:lang w:val="pt-PT"/>
        </w:rPr>
      </w:pPr>
      <w:r w:rsidRPr="006430B7">
        <w:rPr>
          <w:rFonts w:ascii="Slimbach LT" w:hAnsi="Slimbach LT"/>
          <w:b/>
          <w:sz w:val="16"/>
          <w:szCs w:val="16"/>
          <w:u w:val="single"/>
          <w:lang w:val="pt-PT"/>
        </w:rPr>
        <w:t>Presseinformationen Deutschland:</w:t>
      </w:r>
    </w:p>
    <w:p w14:paraId="401BDE77" w14:textId="6FD8D484" w:rsidR="0061392A" w:rsidRPr="006430B7" w:rsidRDefault="0061392A" w:rsidP="0061392A">
      <w:pPr>
        <w:spacing w:after="0" w:line="312" w:lineRule="auto"/>
        <w:jc w:val="both"/>
        <w:rPr>
          <w:rFonts w:ascii="Slimbach LT" w:hAnsi="Slimbach LT"/>
          <w:sz w:val="16"/>
          <w:szCs w:val="16"/>
          <w:lang w:val="pt-PT"/>
        </w:rPr>
      </w:pPr>
      <w:r>
        <w:rPr>
          <w:rFonts w:ascii="Slimbach LT" w:hAnsi="Slimbach LT"/>
          <w:sz w:val="16"/>
          <w:szCs w:val="16"/>
          <w:lang w:val="pt-PT"/>
        </w:rPr>
        <w:t>Alex</w:t>
      </w:r>
      <w:r w:rsidR="00436E67">
        <w:rPr>
          <w:rFonts w:ascii="Slimbach LT" w:hAnsi="Slimbach LT"/>
          <w:sz w:val="16"/>
          <w:szCs w:val="16"/>
          <w:lang w:val="pt-PT"/>
        </w:rPr>
        <w:t>andra</w:t>
      </w:r>
      <w:r>
        <w:rPr>
          <w:rFonts w:ascii="Slimbach LT" w:hAnsi="Slimbach LT"/>
          <w:sz w:val="16"/>
          <w:szCs w:val="16"/>
          <w:lang w:val="pt-PT"/>
        </w:rPr>
        <w:t xml:space="preserve"> Bendel-Doell</w:t>
      </w:r>
    </w:p>
    <w:p w14:paraId="08324830" w14:textId="77777777" w:rsidR="0061392A" w:rsidRPr="006430B7" w:rsidRDefault="0061392A" w:rsidP="0061392A">
      <w:pPr>
        <w:spacing w:after="0" w:line="312" w:lineRule="auto"/>
        <w:jc w:val="both"/>
        <w:rPr>
          <w:rFonts w:ascii="Slimbach LT" w:hAnsi="Slimbach LT"/>
          <w:sz w:val="16"/>
          <w:szCs w:val="16"/>
          <w:lang w:val="pt-PT"/>
        </w:rPr>
      </w:pPr>
      <w:r>
        <w:rPr>
          <w:rFonts w:ascii="Slimbach LT" w:hAnsi="Slimbach LT"/>
          <w:sz w:val="16"/>
          <w:szCs w:val="16"/>
          <w:lang w:val="pt-PT"/>
        </w:rPr>
        <w:t>Leitung Marketing</w:t>
      </w:r>
    </w:p>
    <w:p w14:paraId="0C07FB75" w14:textId="77777777" w:rsidR="0061392A" w:rsidRPr="006430B7" w:rsidRDefault="0061392A" w:rsidP="0061392A">
      <w:pPr>
        <w:spacing w:after="0" w:line="312" w:lineRule="auto"/>
        <w:jc w:val="both"/>
        <w:rPr>
          <w:rFonts w:ascii="Slimbach LT" w:hAnsi="Slimbach LT"/>
          <w:sz w:val="16"/>
          <w:szCs w:val="16"/>
          <w:lang w:val="pt-PT"/>
        </w:rPr>
      </w:pPr>
      <w:r w:rsidRPr="006430B7">
        <w:rPr>
          <w:rFonts w:ascii="Slimbach LT" w:hAnsi="Slimbach LT"/>
          <w:sz w:val="16"/>
          <w:szCs w:val="16"/>
          <w:lang w:val="pt-PT"/>
        </w:rPr>
        <w:t>PREFA GmbH Alu-Dächer und -Fassaden</w:t>
      </w:r>
    </w:p>
    <w:p w14:paraId="29467CD0" w14:textId="77777777" w:rsidR="0061392A" w:rsidRPr="006430B7" w:rsidRDefault="0061392A" w:rsidP="0061392A">
      <w:pPr>
        <w:spacing w:after="0" w:line="312" w:lineRule="auto"/>
        <w:jc w:val="both"/>
        <w:rPr>
          <w:rFonts w:ascii="Slimbach LT" w:hAnsi="Slimbach LT"/>
          <w:sz w:val="16"/>
          <w:szCs w:val="16"/>
          <w:lang w:val="pt-PT"/>
        </w:rPr>
      </w:pPr>
      <w:r w:rsidRPr="006430B7">
        <w:rPr>
          <w:rFonts w:ascii="Slimbach LT" w:hAnsi="Slimbach LT"/>
          <w:sz w:val="16"/>
          <w:szCs w:val="16"/>
          <w:lang w:val="pt-PT"/>
        </w:rPr>
        <w:t>Aluminiumstraße 2, D-98634 Wasungen</w:t>
      </w:r>
    </w:p>
    <w:p w14:paraId="102F1214" w14:textId="77777777" w:rsidR="0061392A" w:rsidRPr="006430B7" w:rsidRDefault="0061392A" w:rsidP="0061392A">
      <w:pPr>
        <w:spacing w:after="0" w:line="312" w:lineRule="auto"/>
        <w:jc w:val="both"/>
        <w:rPr>
          <w:rFonts w:ascii="Slimbach LT" w:hAnsi="Slimbach LT"/>
          <w:sz w:val="16"/>
          <w:szCs w:val="16"/>
          <w:lang w:val="pt-PT"/>
        </w:rPr>
      </w:pPr>
      <w:r w:rsidRPr="006430B7">
        <w:rPr>
          <w:rFonts w:ascii="Slimbach LT" w:hAnsi="Slimbach LT"/>
          <w:sz w:val="16"/>
          <w:szCs w:val="16"/>
          <w:lang w:val="pt-PT"/>
        </w:rPr>
        <w:t>T: +49 36941</w:t>
      </w:r>
      <w:r>
        <w:rPr>
          <w:rFonts w:ascii="Slimbach LT" w:hAnsi="Slimbach LT"/>
          <w:sz w:val="16"/>
          <w:szCs w:val="16"/>
          <w:lang w:val="pt-PT"/>
        </w:rPr>
        <w:t xml:space="preserve"> </w:t>
      </w:r>
      <w:r w:rsidRPr="006430B7">
        <w:rPr>
          <w:rFonts w:ascii="Slimbach LT" w:hAnsi="Slimbach LT"/>
          <w:sz w:val="16"/>
          <w:szCs w:val="16"/>
          <w:lang w:val="pt-PT"/>
        </w:rPr>
        <w:t>78548</w:t>
      </w:r>
      <w:bookmarkStart w:id="0" w:name="_GoBack"/>
      <w:bookmarkEnd w:id="0"/>
    </w:p>
    <w:p w14:paraId="78D54CEC" w14:textId="31A0425B" w:rsidR="0061392A" w:rsidRPr="0061392A" w:rsidRDefault="0061392A" w:rsidP="0061392A">
      <w:pPr>
        <w:spacing w:after="0" w:line="312" w:lineRule="auto"/>
        <w:jc w:val="both"/>
      </w:pPr>
      <w:r w:rsidRPr="0061392A">
        <w:rPr>
          <w:rFonts w:ascii="Slimbach LT" w:hAnsi="Slimbach LT"/>
          <w:sz w:val="16"/>
          <w:szCs w:val="16"/>
          <w:lang w:val="pt-PT"/>
        </w:rPr>
        <w:t xml:space="preserve">E: </w:t>
      </w:r>
      <w:r w:rsidR="00436E67" w:rsidRPr="00436E67">
        <w:rPr>
          <w:rFonts w:ascii="Slimbach LT" w:hAnsi="Slimbach LT"/>
          <w:sz w:val="16"/>
          <w:szCs w:val="16"/>
          <w:lang w:val="pt-PT"/>
        </w:rPr>
        <w:t>alexandra.bendel-doell@prefa.com</w:t>
      </w:r>
    </w:p>
    <w:p w14:paraId="03B34AAA" w14:textId="77777777" w:rsidR="004C1612" w:rsidRDefault="004C1612" w:rsidP="00012BE8">
      <w:pPr>
        <w:spacing w:after="0" w:line="312" w:lineRule="auto"/>
        <w:jc w:val="both"/>
      </w:pPr>
    </w:p>
    <w:p w14:paraId="104413F5" w14:textId="77777777" w:rsidR="004C1612" w:rsidRPr="00012BE8" w:rsidRDefault="004C1612" w:rsidP="00012BE8">
      <w:pPr>
        <w:spacing w:after="0" w:line="312" w:lineRule="auto"/>
        <w:jc w:val="both"/>
        <w:rPr>
          <w:rFonts w:ascii="Slimbach LT" w:hAnsi="Slimbach LT"/>
          <w:sz w:val="16"/>
          <w:szCs w:val="16"/>
          <w:lang w:val="pt-PT"/>
        </w:rPr>
      </w:pPr>
    </w:p>
    <w:sectPr w:rsidR="004C1612" w:rsidRPr="00012BE8" w:rsidSect="003C57D6">
      <w:headerReference w:type="default" r:id="rId7"/>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AE2EF" w16cid:durableId="1E688A93"/>
  <w16cid:commentId w16cid:paraId="4F8096A8" w16cid:durableId="1E688E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9F55" w14:textId="77777777" w:rsidR="00EF0491" w:rsidRDefault="00EF0491" w:rsidP="006F2311">
      <w:pPr>
        <w:spacing w:after="0" w:line="240" w:lineRule="auto"/>
      </w:pPr>
      <w:r>
        <w:separator/>
      </w:r>
    </w:p>
  </w:endnote>
  <w:endnote w:type="continuationSeparator" w:id="0">
    <w:p w14:paraId="38CDF383" w14:textId="77777777" w:rsidR="00EF0491" w:rsidRDefault="00EF049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49678" w14:textId="77777777" w:rsidR="00EF0491" w:rsidRDefault="00EF0491" w:rsidP="006F2311">
      <w:pPr>
        <w:spacing w:after="0" w:line="240" w:lineRule="auto"/>
      </w:pPr>
      <w:r>
        <w:separator/>
      </w:r>
    </w:p>
  </w:footnote>
  <w:footnote w:type="continuationSeparator" w:id="0">
    <w:p w14:paraId="33CF2A0E" w14:textId="77777777" w:rsidR="00EF0491" w:rsidRDefault="00EF0491"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2146" w14:textId="77777777" w:rsidR="006223C0" w:rsidRDefault="006223C0">
    <w:pPr>
      <w:pStyle w:val="Kopfzeile"/>
    </w:pPr>
    <w:r>
      <w:rPr>
        <w:noProof/>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5139"/>
    <w:rsid w:val="003171E2"/>
    <w:rsid w:val="00320210"/>
    <w:rsid w:val="003206E4"/>
    <w:rsid w:val="00323271"/>
    <w:rsid w:val="003254A0"/>
    <w:rsid w:val="00333FD3"/>
    <w:rsid w:val="00334635"/>
    <w:rsid w:val="003371C3"/>
    <w:rsid w:val="00346085"/>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6E67"/>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E35B0"/>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F160F"/>
    <w:rsid w:val="005F4FF2"/>
    <w:rsid w:val="0060083E"/>
    <w:rsid w:val="00604BE7"/>
    <w:rsid w:val="00604F03"/>
    <w:rsid w:val="0061392A"/>
    <w:rsid w:val="0061768C"/>
    <w:rsid w:val="006223C0"/>
    <w:rsid w:val="00623A4A"/>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B019B"/>
    <w:rsid w:val="007B0380"/>
    <w:rsid w:val="007B4A1B"/>
    <w:rsid w:val="007B7148"/>
    <w:rsid w:val="007B7619"/>
    <w:rsid w:val="007C06BE"/>
    <w:rsid w:val="007C0EBA"/>
    <w:rsid w:val="007C2DD6"/>
    <w:rsid w:val="007C7988"/>
    <w:rsid w:val="007E54A0"/>
    <w:rsid w:val="007F1BC7"/>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9BF"/>
    <w:rsid w:val="00A71B06"/>
    <w:rsid w:val="00A73066"/>
    <w:rsid w:val="00A7454D"/>
    <w:rsid w:val="00A74D27"/>
    <w:rsid w:val="00A76A88"/>
    <w:rsid w:val="00A850F9"/>
    <w:rsid w:val="00A86C43"/>
    <w:rsid w:val="00A90748"/>
    <w:rsid w:val="00A90890"/>
    <w:rsid w:val="00A9151C"/>
    <w:rsid w:val="00A943F0"/>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0491"/>
    <w:rsid w:val="00EF25DA"/>
    <w:rsid w:val="00EF473B"/>
    <w:rsid w:val="00EF6703"/>
    <w:rsid w:val="00F01637"/>
    <w:rsid w:val="00F0256F"/>
    <w:rsid w:val="00F049F0"/>
    <w:rsid w:val="00F058D9"/>
    <w:rsid w:val="00F07533"/>
    <w:rsid w:val="00F1161D"/>
    <w:rsid w:val="00F11B39"/>
    <w:rsid w:val="00F36A90"/>
    <w:rsid w:val="00F40266"/>
    <w:rsid w:val="00F45FCE"/>
    <w:rsid w:val="00F475C5"/>
    <w:rsid w:val="00F50866"/>
    <w:rsid w:val="00F52DFA"/>
    <w:rsid w:val="00F5442F"/>
    <w:rsid w:val="00F54CDF"/>
    <w:rsid w:val="00F55EE2"/>
    <w:rsid w:val="00F55EF2"/>
    <w:rsid w:val="00F570ED"/>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ACD88"/>
  <w15:docId w15:val="{BC6E030F-7A09-48C1-804A-D4861F32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FD2F-F3D8-4E6E-9B89-EBFFFE89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4244</Characters>
  <Application>Microsoft Office Word</Application>
  <DocSecurity>0</DocSecurity>
  <Lines>35</Lines>
  <Paragraphs>9</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5</cp:revision>
  <cp:lastPrinted>2018-03-30T06:31:00Z</cp:lastPrinted>
  <dcterms:created xsi:type="dcterms:W3CDTF">2018-08-24T22:02:00Z</dcterms:created>
  <dcterms:modified xsi:type="dcterms:W3CDTF">2018-11-02T07:15:00Z</dcterms:modified>
</cp:coreProperties>
</file>