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2C8B3" w14:textId="72ED8BEA" w:rsidR="004B50AA" w:rsidRDefault="004B50AA" w:rsidP="00C67253">
      <w:pPr>
        <w:pStyle w:val="Normal"/>
        <w:tabs>
          <w:tab w:val="left" w:pos="4025"/>
          <w:tab w:val="left" w:pos="10206"/>
          <w:tab w:val="left" w:pos="11340"/>
          <w:tab w:val="left" w:pos="12474"/>
          <w:tab w:val="left" w:pos="13608"/>
          <w:tab w:val="left" w:pos="14742"/>
          <w:tab w:val="left" w:pos="15876"/>
        </w:tabs>
        <w:ind w:right="1870"/>
        <w:rPr>
          <w:b/>
          <w:bCs/>
          <w:sz w:val="28"/>
          <w:szCs w:val="28"/>
        </w:rPr>
      </w:pPr>
      <w:bookmarkStart w:id="0" w:name="_GoBack"/>
      <w:bookmarkEnd w:id="0"/>
      <w:r>
        <w:rPr>
          <w:b/>
          <w:bCs/>
          <w:sz w:val="28"/>
          <w:szCs w:val="28"/>
        </w:rPr>
        <w:t>Textes pour appels d’offres</w:t>
      </w:r>
    </w:p>
    <w:p w14:paraId="02CA4BF4" w14:textId="77777777" w:rsidR="004B50AA" w:rsidRDefault="004B50AA" w:rsidP="00C67253">
      <w:pPr>
        <w:pStyle w:val="Normal"/>
        <w:tabs>
          <w:tab w:val="left" w:pos="4025"/>
          <w:tab w:val="left" w:pos="10206"/>
          <w:tab w:val="left" w:pos="11340"/>
          <w:tab w:val="left" w:pos="12474"/>
          <w:tab w:val="left" w:pos="13608"/>
          <w:tab w:val="left" w:pos="14742"/>
          <w:tab w:val="left" w:pos="15876"/>
        </w:tabs>
        <w:ind w:right="1870"/>
        <w:rPr>
          <w:sz w:val="22"/>
          <w:szCs w:val="22"/>
        </w:rPr>
      </w:pPr>
      <w:r>
        <w:rPr>
          <w:sz w:val="20"/>
          <w:szCs w:val="20"/>
        </w:rPr>
        <w:t>Toitures et façades PREFA 2018-06</w:t>
      </w:r>
    </w:p>
    <w:p w14:paraId="25D089B6" w14:textId="77777777" w:rsidR="00C67253" w:rsidRDefault="00C67253" w:rsidP="00C67253">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4C3FDC31"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LV 02 Façades PREFA</w:t>
      </w:r>
    </w:p>
    <w:p w14:paraId="48EF22C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9174554"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Titre 02.07 Bardeau de façade</w:t>
      </w:r>
    </w:p>
    <w:p w14:paraId="2CCB711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3BE8DCC"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0528A0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REMARQUES PRÉLIMINAIRES GÉNÉRALES</w:t>
      </w:r>
    </w:p>
    <w:p w14:paraId="4986DE60" w14:textId="77777777" w:rsidR="00C6725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b/>
          <w:bCs/>
          <w:sz w:val="20"/>
          <w:szCs w:val="20"/>
        </w:rPr>
      </w:pPr>
      <w:r>
        <w:rPr>
          <w:rFonts w:ascii="Arial" w:hAnsi="Arial"/>
          <w:b/>
          <w:bCs/>
          <w:sz w:val="20"/>
          <w:szCs w:val="20"/>
        </w:rPr>
        <w:t>Auteur :</w:t>
      </w:r>
    </w:p>
    <w:p w14:paraId="560DF7EB"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70ECD38D" w14:textId="77777777" w:rsidR="00C6725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szCs w:val="20"/>
        </w:rPr>
      </w:pPr>
      <w:r>
        <w:rPr>
          <w:rFonts w:ascii="Arial" w:hAnsi="Arial"/>
          <w:sz w:val="20"/>
          <w:szCs w:val="20"/>
        </w:rPr>
        <w:t>PREFA Aluminiumprodukte GmbH</w:t>
      </w:r>
    </w:p>
    <w:p w14:paraId="487CB89D"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rPr>
      </w:pPr>
      <w:r>
        <w:rPr>
          <w:rFonts w:ascii="Arial" w:hAnsi="Arial"/>
          <w:sz w:val="20"/>
          <w:szCs w:val="20"/>
        </w:rPr>
        <w:t>3182 Marktl/Lilienfeld</w:t>
      </w:r>
    </w:p>
    <w:p w14:paraId="73C34A8E"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26101C87" w14:textId="77777777" w:rsidR="004B50AA" w:rsidRPr="00632EEA"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sz w:val="20"/>
          <w:szCs w:val="20"/>
        </w:rPr>
      </w:pPr>
      <w:r>
        <w:rPr>
          <w:rFonts w:ascii="Arial" w:hAnsi="Arial"/>
          <w:sz w:val="20"/>
          <w:szCs w:val="20"/>
        </w:rPr>
        <w:t>Dernière modification : le 13/07/2017</w:t>
      </w:r>
    </w:p>
    <w:p w14:paraId="53233318"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Les prestations décrites doivent être exécutées en conformité avec les instructions de pose et de montage de PREFA Aluminiumprodukte GmbH, ainsi qu’avec les réglementations, règles professionnelles et normes nationales en vigueur.</w:t>
      </w:r>
    </w:p>
    <w:p w14:paraId="086C0793"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336B3C70"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Le cahier des charges ci-après a été établi sur la base des documents suivants :</w:t>
      </w:r>
    </w:p>
    <w:p w14:paraId="33FA6AB5"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28DC6950"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2AC0E773"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457BE1E5"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3C95F418"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5FC217C1"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34163B8E"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53F77467" w14:textId="53042D1F" w:rsidR="004B50AA" w:rsidRPr="00632EEA"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Le présent cahier des charges s’appuie sur les plans mis à notre disposition tout en respectant les règles techniques générales actuellement en vigueur. Le soumissionnaire se doit d’examiner la faisabilité de chaque point du cahier des charges. Les quantités indiquées doivent être vérifiées sur le chantier et éventuellement modifiées.</w:t>
      </w:r>
    </w:p>
    <w:p w14:paraId="573967A3" w14:textId="77777777" w:rsidR="004B50AA" w:rsidRPr="00632EEA"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Pour chaque point concerné, les chutes de matériau, les pertes de longueur au niveau des joints, tout comme le petit matériel et le matériel de fixation doivent être intégrés dans les calculs. La facturation s’effectue sur la base des mesures prises sur le site de la construction.</w:t>
      </w:r>
    </w:p>
    <w:p w14:paraId="5049B859" w14:textId="77777777" w:rsidR="004B50AA" w:rsidRPr="00632EEA"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Il est fortement conseillé de visiter le site avant de soumettre toute offre.</w:t>
      </w:r>
    </w:p>
    <w:p w14:paraId="373209E5"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Cet appel d’offres ne comprend ni les échafaudages de travail, de façade et de sécurité, ni les éventuelles fermetures de voies de circulation et autorisations officielles, ni les systèmes parafoudre, annexes, balcons et avant-toits. Les études statiques et les prestations touchant à la physique du bâtiment sont à la charge du concepteur.</w:t>
      </w:r>
    </w:p>
    <w:p w14:paraId="15B26EAF"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794CF6E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color w:val="000000"/>
          <w:sz w:val="20"/>
          <w:szCs w:val="20"/>
        </w:rPr>
        <w:t>La société PREFA Aluminiumprodukte GmbH ne se porte garante ni de l’exhaustivité des informations fournies aux différents points du cahier des charges pour la réalisation des prestations décrites, ni de l’exactitude des dimensions indiquées à chacun de ces points. Le concepteur est tenu de vérifier l’exactitude de toutes les indications et données et, le cas échéant, de les adapter. Ce document est mis à la disposition du concepteur (architecte ou autres) afin de l’aider à élaborer son appel d’offres et doit être considéré comme une simple prestation de conseil.</w:t>
      </w:r>
    </w:p>
    <w:p w14:paraId="18A8F92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56A082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FC8B875" w14:textId="7549E9AE"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02.07.1 Habillage de façade — bardeau de façade</w:t>
      </w:r>
    </w:p>
    <w:p w14:paraId="35454686" w14:textId="5A14EFAB" w:rsidR="004B50AA" w:rsidRPr="003C6144" w:rsidRDefault="005C0DDA" w:rsidP="00C67253">
      <w:pPr>
        <w:widowControl w:val="0"/>
        <w:autoSpaceDE w:val="0"/>
        <w:autoSpaceDN w:val="0"/>
        <w:adjustRightInd w:val="0"/>
        <w:ind w:right="1870"/>
        <w:rPr>
          <w:rFonts w:ascii="Arial" w:hAnsi="Arial" w:cs="Arial"/>
          <w:sz w:val="20"/>
        </w:rPr>
      </w:pPr>
      <w:r>
        <w:rPr>
          <w:rFonts w:ascii="Arial" w:hAnsi="Arial"/>
          <w:sz w:val="20"/>
          <w:szCs w:val="20"/>
        </w:rPr>
        <w:t>Livraison et pose d’un habillage de façade en aluminium inoxydable réalisé avec des bardeaux PREFA ; comprend le matériel de fixation PREFA (fixation invisible au moyen de pattes brevetées et de clous annelés, 10 par m²) ; pose réalisée sur voligeage intégral (épaisseur minimum : 24 mm). Respecter les directives de pose PREFA.</w:t>
      </w:r>
    </w:p>
    <w:p w14:paraId="3DAF64B0"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0CB694E6" w14:textId="77777777" w:rsidR="004B50AA" w:rsidRPr="00632EEA"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Pose : décalage de ⅓</w:t>
      </w:r>
    </w:p>
    <w:p w14:paraId="537AF0AE" w14:textId="74A68D7E" w:rsidR="004B50AA" w:rsidRPr="00632EEA"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Dimensions : 420 × 240 mm en surface de couverture (10 par m²)</w:t>
      </w:r>
    </w:p>
    <w:p w14:paraId="2E7014BC" w14:textId="6D89E2EA" w:rsidR="004B50AA" w:rsidRPr="00632EEA"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1CD83BC1" w14:textId="77777777" w:rsidR="004B50AA" w:rsidRPr="00632EEA"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Poids : 2,5 kg/m²</w:t>
      </w:r>
    </w:p>
    <w:p w14:paraId="2E790B38" w14:textId="77777777" w:rsidR="004B50AA" w:rsidRPr="00632EEA"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Matériau : aluminium (entièrement recyclable)</w:t>
      </w:r>
    </w:p>
    <w:p w14:paraId="74B02E58" w14:textId="77777777" w:rsidR="004B50AA" w:rsidRPr="00632EEA"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Alliage : EN AW-3005 conformément à la norme EN 573-3</w:t>
      </w:r>
    </w:p>
    <w:p w14:paraId="25EEDF5B" w14:textId="77777777" w:rsidR="004B50AA" w:rsidRPr="00632EEA" w:rsidRDefault="004B50AA" w:rsidP="00C67253">
      <w:pPr>
        <w:widowControl w:val="0"/>
        <w:autoSpaceDE w:val="0"/>
        <w:autoSpaceDN w:val="0"/>
        <w:adjustRightInd w:val="0"/>
        <w:ind w:right="1870"/>
        <w:rPr>
          <w:rFonts w:ascii="Arial" w:hAnsi="Arial" w:cs="Arial"/>
          <w:sz w:val="20"/>
          <w:szCs w:val="20"/>
        </w:rPr>
      </w:pPr>
      <w:r>
        <w:rPr>
          <w:rFonts w:ascii="Arial" w:hAnsi="Arial"/>
          <w:color w:val="000000"/>
          <w:sz w:val="20"/>
          <w:szCs w:val="20"/>
        </w:rPr>
        <w:t>Face avant : revêtement à chaud P.10</w:t>
      </w:r>
    </w:p>
    <w:p w14:paraId="57FB636C" w14:textId="77777777" w:rsidR="004B50AA" w:rsidRPr="00632EEA"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Couleur : ……</w:t>
      </w:r>
    </w:p>
    <w:p w14:paraId="62221D5E" w14:textId="77777777" w:rsidR="004B50AA" w:rsidRPr="00632EEA"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(couleur standard ; cf. nuancier PREFA)</w:t>
      </w:r>
    </w:p>
    <w:p w14:paraId="51CD9802" w14:textId="77777777" w:rsidR="00C67253"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face arrière : vernis de protection</w:t>
      </w:r>
    </w:p>
    <w:p w14:paraId="574D5E0A" w14:textId="77777777" w:rsidR="004B50AA" w:rsidRPr="00632EEA"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Finition : stucco ou lisse</w:t>
      </w:r>
    </w:p>
    <w:p w14:paraId="4E1D9341" w14:textId="483D02E5" w:rsidR="004B50AA" w:rsidRPr="00632EEA"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Classe de réaction au feu : A1 conformément à la norme EN 13501-1</w:t>
      </w:r>
    </w:p>
    <w:p w14:paraId="5FA6F47C" w14:textId="56C07E56" w:rsidR="004B50AA" w:rsidRPr="00632EEA"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Déclaration environnementale de produit selon ISO 14025 et EN 15804 : EPD-GDA-20130260-IBG1-DE</w:t>
      </w:r>
    </w:p>
    <w:p w14:paraId="22FE2B04" w14:textId="59E45B69" w:rsidR="004B50AA" w:rsidRPr="00632EEA"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Durée de vie de référence conformément à la déclaration environnementale de produit : ≥ 70 ans</w:t>
      </w:r>
    </w:p>
    <w:p w14:paraId="0BC4F67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E3128E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EFAD353" w14:textId="77777777" w:rsidR="004B50AA" w:rsidRPr="00632EEA"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PU _____________  PT _____________</w:t>
      </w:r>
    </w:p>
    <w:p w14:paraId="5789F3D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25C4D0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A040227" w14:textId="420E44C6"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02.07.2 Habillage de façade — bardeau de façade XL</w:t>
      </w:r>
    </w:p>
    <w:p w14:paraId="02883817" w14:textId="2FEFD4ED" w:rsidR="004B50AA" w:rsidRPr="003C6144" w:rsidRDefault="005C0DDA" w:rsidP="00C67253">
      <w:pPr>
        <w:widowControl w:val="0"/>
        <w:autoSpaceDE w:val="0"/>
        <w:autoSpaceDN w:val="0"/>
        <w:adjustRightInd w:val="0"/>
        <w:ind w:right="1870"/>
        <w:rPr>
          <w:rFonts w:ascii="Arial" w:hAnsi="Arial" w:cs="Arial"/>
          <w:sz w:val="20"/>
        </w:rPr>
      </w:pPr>
      <w:r>
        <w:rPr>
          <w:rFonts w:ascii="Arial" w:hAnsi="Arial"/>
          <w:sz w:val="20"/>
          <w:szCs w:val="20"/>
        </w:rPr>
        <w:t>Livraison et pose d’un habillage de façade en aluminium inoxydable réalisé avec des bardeaux XL PREFA ; comprend le matériel de fixation PREFA (fixation invisible au moyen de pattes brevetées et de clous annelés, 5 par m²) ; pose réalisée sur voligeage intégral (épaisseur minimum : 24 mm). Respecter les directives de pose PREFA.</w:t>
      </w:r>
    </w:p>
    <w:p w14:paraId="3EDC8699"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2D2476EC" w14:textId="141FA6CB" w:rsidR="004B50AA" w:rsidRPr="00632EEA"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Pose : joints décalés d’au moins 100 mm</w:t>
      </w:r>
    </w:p>
    <w:p w14:paraId="6AF31652" w14:textId="673C38CC" w:rsidR="004B50AA" w:rsidRPr="00632EEA"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Dimensions : 840 × 240 mm en surface de couverture (5 par m²)</w:t>
      </w:r>
    </w:p>
    <w:p w14:paraId="0AAC38C9" w14:textId="38E62287" w:rsidR="004B50AA" w:rsidRPr="00632EEA"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0C0B2734" w14:textId="77777777" w:rsidR="004B50AA" w:rsidRPr="00632EEA"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Poids : 2,4 kg/m²</w:t>
      </w:r>
    </w:p>
    <w:p w14:paraId="22EBA180" w14:textId="77777777" w:rsidR="004B50AA" w:rsidRPr="00632EEA"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Matériau : aluminium (entièrement recyclable)</w:t>
      </w:r>
    </w:p>
    <w:p w14:paraId="449F7A66" w14:textId="77777777" w:rsidR="004B50AA" w:rsidRPr="00632EEA"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Alliage : EN AW-3005 conformément à la norme EN 573-3</w:t>
      </w:r>
    </w:p>
    <w:p w14:paraId="35277F29" w14:textId="77777777" w:rsidR="004B50AA" w:rsidRPr="00632EEA" w:rsidRDefault="004B50AA" w:rsidP="00C67253">
      <w:pPr>
        <w:widowControl w:val="0"/>
        <w:autoSpaceDE w:val="0"/>
        <w:autoSpaceDN w:val="0"/>
        <w:adjustRightInd w:val="0"/>
        <w:ind w:right="1870"/>
        <w:rPr>
          <w:rFonts w:ascii="Arial" w:hAnsi="Arial" w:cs="Arial"/>
          <w:sz w:val="20"/>
          <w:szCs w:val="20"/>
        </w:rPr>
      </w:pPr>
      <w:r>
        <w:rPr>
          <w:rFonts w:ascii="Arial" w:hAnsi="Arial"/>
          <w:color w:val="000000"/>
          <w:sz w:val="20"/>
          <w:szCs w:val="20"/>
        </w:rPr>
        <w:t>Face avant : revêtement à chaud P.10</w:t>
      </w:r>
    </w:p>
    <w:p w14:paraId="47461525" w14:textId="77777777" w:rsidR="004B50AA" w:rsidRPr="00632EEA"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Couleur : ……</w:t>
      </w:r>
    </w:p>
    <w:p w14:paraId="66A610B2" w14:textId="77777777" w:rsidR="004B50AA" w:rsidRPr="00632EEA"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(couleur standard ; cf. nuancier PREFA)</w:t>
      </w:r>
    </w:p>
    <w:p w14:paraId="0BDB57DB" w14:textId="77777777" w:rsidR="00C67253"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face arrière : vernis de protection</w:t>
      </w:r>
    </w:p>
    <w:p w14:paraId="78C62234" w14:textId="77777777" w:rsidR="004B50AA" w:rsidRPr="00632EEA"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Finition : stucco ou lisse</w:t>
      </w:r>
    </w:p>
    <w:p w14:paraId="641B2730" w14:textId="5C59A3EA" w:rsidR="004B50AA" w:rsidRPr="00632EEA"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Classe de réaction au feu : A1 conformément à la norme EN 13501-1</w:t>
      </w:r>
    </w:p>
    <w:p w14:paraId="00BB57D9" w14:textId="4C8374C2" w:rsidR="004B50AA" w:rsidRPr="00632EEA"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Déclaration environnementale de produit selon ISO 14025 et EN 15804 : EPD-GDA-20130260-IBG1-DE</w:t>
      </w:r>
    </w:p>
    <w:p w14:paraId="2E25D987" w14:textId="52532A3C" w:rsidR="004B50AA" w:rsidRPr="00632EEA"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Durée de vie de référence conformément à la déclaration environnementale de produit : ≥ 70 ans</w:t>
      </w:r>
    </w:p>
    <w:p w14:paraId="7D16E4A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24E295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B945129" w14:textId="77777777" w:rsidR="004B50AA" w:rsidRPr="00632EEA"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PU _____________  PT _____________</w:t>
      </w:r>
    </w:p>
    <w:p w14:paraId="43FA5D0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6D0765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657DCE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02.07.3 Bande de départ</w:t>
      </w:r>
    </w:p>
    <w:p w14:paraId="63C2CE9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bandes de départ PREFA (avec repère) ; comprend le matériel de fixation et l’ajustage à l’habillage de façade PREFA. Respecter les directives de pose PREFA.</w:t>
      </w:r>
    </w:p>
    <w:p w14:paraId="437CE2B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912F248" w14:textId="3A8F7CF3" w:rsidR="004B50AA" w:rsidRPr="00632EE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1 800 × 158 mm</w:t>
      </w:r>
    </w:p>
    <w:p w14:paraId="56E57F88" w14:textId="7F1EE1F4" w:rsidR="004B50AA" w:rsidRPr="00632EE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1,0 mm</w:t>
      </w:r>
    </w:p>
    <w:p w14:paraId="3D5A7A4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aluminium</w:t>
      </w:r>
    </w:p>
    <w:p w14:paraId="5311783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03CC272" w14:textId="77777777" w:rsidR="004B50AA" w:rsidRPr="00632EEA"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15FC76A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1613D2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A733856" w14:textId="68C54320"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02.07.4 Raccordement inférieur des bardeaux de façade PREFA</w:t>
      </w:r>
    </w:p>
    <w:p w14:paraId="1145262B"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du raccordement inférieur ; avec matériel de fixation et ajustage à l’habillage de façade.</w:t>
      </w:r>
    </w:p>
    <w:p w14:paraId="24D5FAD1"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4003EA6F" w14:textId="77777777" w:rsidR="004B50AA" w:rsidRPr="00632EEA"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71457B3D" w14:textId="77777777" w:rsidR="004B50AA" w:rsidRPr="00632EEA"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1195C7FA"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Couleur : identique au produit principal</w:t>
      </w:r>
    </w:p>
    <w:p w14:paraId="3A257C31"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4B1A2A62" w14:textId="77777777" w:rsidR="004B50AA" w:rsidRPr="00632EEA"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Bande de recouvrement :</w:t>
      </w:r>
    </w:p>
    <w:p w14:paraId="45D8CF7D" w14:textId="538256DA" w:rsidR="004B50AA" w:rsidRPr="00632EEA"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Dimension de coupe : … mm</w:t>
      </w:r>
    </w:p>
    <w:p w14:paraId="299CB8BE" w14:textId="30AD6781"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Pliure : … mm</w:t>
      </w:r>
    </w:p>
    <w:p w14:paraId="7C680BB0"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3E9567C2" w14:textId="77777777" w:rsidR="004B50AA" w:rsidRPr="00632EEA"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Profil de jonction :</w:t>
      </w:r>
    </w:p>
    <w:p w14:paraId="04BA4B08" w14:textId="509B9A0E" w:rsidR="004B50AA" w:rsidRPr="00632EEA"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Dimension de coupe : 120 mm</w:t>
      </w:r>
    </w:p>
    <w:p w14:paraId="79DD254E" w14:textId="3470BCD6" w:rsidR="004B50AA" w:rsidRPr="00632EEA"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Pliure : 3 pc.</w:t>
      </w:r>
    </w:p>
    <w:p w14:paraId="33ED1267" w14:textId="06138D65"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 2 000 mm</w:t>
      </w:r>
    </w:p>
    <w:p w14:paraId="28E7D70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130162E" w14:textId="77777777" w:rsidR="004B50AA" w:rsidRPr="00632EEA"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0CCFD43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C0D960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0416608" w14:textId="7720D08E"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02.07.5 Profil replié</w:t>
      </w:r>
    </w:p>
    <w:p w14:paraId="77F4126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profils repliés pour les raccordements de couloir et les raccordements supérieurs ; comprend le matériel de fixation, le mastic d’étanchéité ainsi que l’ajustage à l’habillage de façade PREFA.</w:t>
      </w:r>
    </w:p>
    <w:p w14:paraId="6973D16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B35A60D" w14:textId="5E22C852" w:rsidR="004B50AA" w:rsidRPr="00632EE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jusqu’à 150 mm</w:t>
      </w:r>
    </w:p>
    <w:p w14:paraId="743012B1" w14:textId="4DCEE185" w:rsidR="004B50AA" w:rsidRPr="00632EE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3 pc.</w:t>
      </w:r>
    </w:p>
    <w:p w14:paraId="734A0590" w14:textId="77777777" w:rsidR="004B50AA" w:rsidRPr="00632EE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79C4497D" w14:textId="77777777" w:rsidR="004B50AA" w:rsidRPr="00632EE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7A443B1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269AE25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EEA752F" w14:textId="77777777" w:rsidR="004B50AA" w:rsidRPr="00632EEA"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239E416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940B2AA"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212E2D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02.07.6 Renvoi d’eau PREFA</w:t>
      </w:r>
    </w:p>
    <w:p w14:paraId="7995766C"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de renvois d’eau PREFA pour le raccordement inférieur ; séparation horizontale ou raccordement supérieur de fenêtre. Comprend le matériel de fixation. les profils de liaison et l’ajustage à l’habillage de la façade.</w:t>
      </w:r>
    </w:p>
    <w:p w14:paraId="75ECF408"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1E5ADF34" w14:textId="7EF69F91" w:rsidR="004B50AA" w:rsidRPr="00632EEA"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Dimension de coupe : 120 mm</w:t>
      </w:r>
    </w:p>
    <w:p w14:paraId="1F3190F4" w14:textId="072B7637" w:rsidR="004B50AA" w:rsidRPr="00632EEA"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Pliure : 3 pc.</w:t>
      </w:r>
    </w:p>
    <w:p w14:paraId="4B92A9EC" w14:textId="49415760" w:rsidR="004B50AA" w:rsidRPr="00632EEA"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Longueur : 2 500 mm</w:t>
      </w:r>
    </w:p>
    <w:p w14:paraId="548D8EEF" w14:textId="77777777" w:rsidR="004B50AA" w:rsidRPr="00632EEA"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identique au produit principal</w:t>
      </w:r>
    </w:p>
    <w:p w14:paraId="55B15C9C" w14:textId="77777777" w:rsidR="004B50AA" w:rsidRPr="00632EEA"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103ABB3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382C1D9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F772A8E" w14:textId="77777777" w:rsidR="004B50AA" w:rsidRPr="00632EEA"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69A84C1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87D267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43A7275" w14:textId="7ECFB9E3"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02.07.7 Mise en œuvre d’angles — angles sortants et rentrants (deux éléments)</w:t>
      </w:r>
    </w:p>
    <w:p w14:paraId="0145E5D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d’angles sortants et rentrants (deux éléments) ; comprend le matériel de fixation et l’ajustage à l’habillage de façade PREFA.</w:t>
      </w:r>
    </w:p>
    <w:p w14:paraId="718E71B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0AE78AB" w14:textId="49524AA1" w:rsidR="004B50AA" w:rsidRPr="00632EE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totale : jusqu’à 250 mm</w:t>
      </w:r>
    </w:p>
    <w:p w14:paraId="4057F3B0" w14:textId="4DEBB69E" w:rsidR="004B50AA" w:rsidRPr="00632EE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jusqu’à 8 pc.</w:t>
      </w:r>
    </w:p>
    <w:p w14:paraId="092C904B" w14:textId="4A958C55" w:rsidR="004B50AA" w:rsidRPr="00632EE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 2 000 mm</w:t>
      </w:r>
    </w:p>
    <w:p w14:paraId="0DA834A9" w14:textId="77777777" w:rsidR="004B50AA" w:rsidRPr="00632EE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identique au produit principal</w:t>
      </w:r>
    </w:p>
    <w:p w14:paraId="08F8FFB4" w14:textId="77777777" w:rsidR="004B50AA" w:rsidRPr="00632EE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53765AB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7E83969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9342254" w14:textId="77777777" w:rsidR="004B50AA" w:rsidRPr="00632EEA"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0015A87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9ED912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9E7A6C0" w14:textId="6749E06B"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02.07.8 Mise en œuvre d’angles — angles sortants et rentrants (trois éléments)</w:t>
      </w:r>
    </w:p>
    <w:p w14:paraId="16F4B95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d’angles sortants et rentrants (trois éléments) ; comprend le matériel de fixation et l’ajustage à l’habillage de façade PREFA.</w:t>
      </w:r>
    </w:p>
    <w:p w14:paraId="457805A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87E45A4" w14:textId="6E4EF4E4" w:rsidR="004B50AA" w:rsidRPr="00632EE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totale : jusqu’à 450 mm</w:t>
      </w:r>
    </w:p>
    <w:p w14:paraId="0F427A39" w14:textId="5FDAD215" w:rsidR="004B50AA" w:rsidRPr="00632EE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jusqu’à 9 pc.</w:t>
      </w:r>
    </w:p>
    <w:p w14:paraId="0457A7CA" w14:textId="77777777" w:rsidR="004B50AA" w:rsidRPr="00632EE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31CCA402" w14:textId="77777777" w:rsidR="004B50AA" w:rsidRPr="00632EE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12BCC05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6E2B746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41CEF4E" w14:textId="77777777" w:rsidR="004B50AA" w:rsidRPr="00632EEA"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3515483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C7F7D3C"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1F41CD3" w14:textId="048726C9"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02.07.9 Raccordement vertical (embrasure) pour portes et fenêtres (réalisé à partir de bandes complémentaires PREFA)</w:t>
      </w:r>
    </w:p>
    <w:p w14:paraId="5D027CB4"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Livraison et pose de raccordements horizontaux (linteau) pour portes et fenêtres ; raccordements réalisés à partir de bandes complémentaires PREFA. Comprend les structures porteuses et les constructions auxiliaires, le matériel de fixation, le mastic d’étanchéité ainsi que l’ajustage à l’habillage de façade PREFA, au linteau et à la tablette de la fenêtre. Il est important de s’assurer que l’isolation thermique est ajustée et fixée correctement au dormant.</w:t>
      </w:r>
    </w:p>
    <w:p w14:paraId="4376EC1E"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444D15DD" w14:textId="77777777" w:rsidR="004B50AA" w:rsidRPr="00632EEA"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Embrasure :</w:t>
      </w:r>
    </w:p>
    <w:p w14:paraId="5C4C8664" w14:textId="68C3708E" w:rsidR="004B50AA" w:rsidRPr="00632EEA"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Dimension de coupe : … mm</w:t>
      </w:r>
    </w:p>
    <w:p w14:paraId="7ECC92A0" w14:textId="4F8CDC26" w:rsidR="004B50AA" w:rsidRPr="00632EEA"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Pliure : … pc.</w:t>
      </w:r>
    </w:p>
    <w:p w14:paraId="0921FE56" w14:textId="77777777" w:rsidR="004B50AA" w:rsidRPr="00632EEA"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7826E69B" w14:textId="77777777" w:rsidR="004B50AA" w:rsidRPr="00632EEA"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0769BF73"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Couleur : identique au produit principal</w:t>
      </w:r>
    </w:p>
    <w:p w14:paraId="7EE24B0E"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4A6665B3" w14:textId="77777777" w:rsidR="004B50AA" w:rsidRPr="00632EEA"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Profil de jonction :</w:t>
      </w:r>
    </w:p>
    <w:p w14:paraId="5558698E" w14:textId="250D176F" w:rsidR="004B50AA" w:rsidRPr="00632EEA"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Dimension de coupe : 120 mm</w:t>
      </w:r>
    </w:p>
    <w:p w14:paraId="3BD64B25" w14:textId="4D17FD9E" w:rsidR="004B50AA" w:rsidRPr="00632EEA"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Pliure : 3 pc.</w:t>
      </w:r>
    </w:p>
    <w:p w14:paraId="270DAD20" w14:textId="2C461D6D"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 2 000 mm</w:t>
      </w:r>
    </w:p>
    <w:p w14:paraId="52B7609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0008080" w14:textId="77777777" w:rsidR="004B50AA" w:rsidRPr="00632EEA"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0E4EA8F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AB3AB0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9B4C29F" w14:textId="01251AEC"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02.07.10 Raccordement horizontal (linteau) pour portes et fenêtres (réalisé à partir de bandes complémentaires PREFA)</w:t>
      </w:r>
    </w:p>
    <w:p w14:paraId="069B2582"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Livraison et pose de raccordements horizontaux (linteau) pour portes et fenêtres ; raccordements réalisés à partir de bandes complémentaires PREFA. Comprend les structures porteuses et les constructions auxiliaires, le matériel de fixation, le mastic d’étanchéité ainsi que l’ajustage à l’habillage de façade PREFA et au tableau de la fenêtre. Il est important de s’assurer que l’isolation thermique est ajustée et fixée correctement au dormant.</w:t>
      </w:r>
    </w:p>
    <w:p w14:paraId="08FA943E"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1015C1DA" w14:textId="77777777" w:rsidR="004B50AA" w:rsidRPr="00632EEA"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Linteau :</w:t>
      </w:r>
    </w:p>
    <w:p w14:paraId="2DBA8BEF" w14:textId="38C1420E" w:rsidR="004B50AA" w:rsidRPr="00632EEA"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Dimension de coupe : … mm</w:t>
      </w:r>
    </w:p>
    <w:p w14:paraId="68970B17" w14:textId="63A4CA19" w:rsidR="004B50AA" w:rsidRPr="00632EEA"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Pliure : … pc.</w:t>
      </w:r>
    </w:p>
    <w:p w14:paraId="05916533" w14:textId="77777777" w:rsidR="004B50AA" w:rsidRPr="00632EEA"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35E401F6" w14:textId="77777777" w:rsidR="004B50AA" w:rsidRPr="00632EEA"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072C0932"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Couleur : identique au produit principal</w:t>
      </w:r>
    </w:p>
    <w:p w14:paraId="3F6979F0"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4C77BD8F" w14:textId="77777777" w:rsidR="004B50AA" w:rsidRPr="00632EEA"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Profil de jonction :</w:t>
      </w:r>
    </w:p>
    <w:p w14:paraId="28AFFAD5" w14:textId="220F9CA3" w:rsidR="004B50AA" w:rsidRPr="00632EEA"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Dimension de coupe : 120 mm</w:t>
      </w:r>
    </w:p>
    <w:p w14:paraId="023675BB" w14:textId="055CBE1B" w:rsidR="004B50AA" w:rsidRPr="00632EEA"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Pliure : 3 pc.</w:t>
      </w:r>
    </w:p>
    <w:p w14:paraId="7E4F2AD2" w14:textId="475C1A9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 2 000 mm</w:t>
      </w:r>
    </w:p>
    <w:p w14:paraId="3E2ABAB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849FC24" w14:textId="77777777" w:rsidR="004B50AA" w:rsidRPr="00632EEA"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195A95A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32BA6FE"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CB2461F" w14:textId="4B73622C"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02.07.11 Tablettes de fenêtre réalisées à partir de bandes complémentaires</w:t>
      </w:r>
    </w:p>
    <w:p w14:paraId="5E390A06" w14:textId="54484AF9" w:rsidR="004B50AA" w:rsidRPr="003C6144" w:rsidRDefault="00707BC4"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tablettes de fenêtre réalisées à partir de bandes complémentaires PREFA ; comprend le matériel de fixation et la réalisation des raccordements latéraux.</w:t>
      </w:r>
    </w:p>
    <w:p w14:paraId="4D425E4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62771F5" w14:textId="77777777" w:rsidR="004B50AA" w:rsidRPr="00632EE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Tablette de fenêtre :</w:t>
      </w:r>
    </w:p>
    <w:p w14:paraId="324B8545" w14:textId="47A06446" w:rsidR="004B50AA" w:rsidRPr="00632EE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16446390" w14:textId="5AAD0990" w:rsidR="004B50AA" w:rsidRPr="00632EE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3 pc.</w:t>
      </w:r>
    </w:p>
    <w:p w14:paraId="58AC475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Épaisseur du matériau : identique au produit principal</w:t>
      </w:r>
    </w:p>
    <w:p w14:paraId="64394E4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57E2304" w14:textId="77777777" w:rsidR="004B50AA" w:rsidRPr="00632EE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Équerre-support :</w:t>
      </w:r>
    </w:p>
    <w:p w14:paraId="5311FCA9" w14:textId="2CBCC20D" w:rsidR="004B50AA" w:rsidRPr="00632EE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7416BFAD" w14:textId="77777777" w:rsidR="004B50AA" w:rsidRPr="00632EE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1 pc.</w:t>
      </w:r>
    </w:p>
    <w:p w14:paraId="27C43959" w14:textId="5700049C"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1,00 mm</w:t>
      </w:r>
    </w:p>
    <w:p w14:paraId="2DD8DB9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36CAB35" w14:textId="77777777" w:rsidR="004B50AA" w:rsidRPr="00632EEA"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2AF1066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B8FFB9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DB34C42" w14:textId="617122B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02.07.12 Couronnement d’acrotère réalisé à partir de bandes complémentaires</w:t>
      </w:r>
    </w:p>
    <w:p w14:paraId="4281649B" w14:textId="389AEFDA" w:rsidR="004B50AA" w:rsidRPr="00632EEA"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Livraison et pose de couronnements d’acrotère réalisés à partir de bandes complémentaires PREFA ; fournis avec bandes d’accrochage (sur les deux côtés) et matériel de fixation. Chaque élément sera découpé en respectant la dimension de coupe requise ; leur longueur ne devra toutefois pas excéder 3 000 mm.</w:t>
      </w:r>
    </w:p>
    <w:p w14:paraId="78FD65F9"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Types de raccordement : joint debout, pli d’accrochage, coulisseau ou support en tôle ondulée.</w:t>
      </w:r>
    </w:p>
    <w:p w14:paraId="2C3DEF3B"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5F0F61F4" w14:textId="1205C380" w:rsidR="004B50AA" w:rsidRPr="00632EEA"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Dimension de coupe : … mm</w:t>
      </w:r>
    </w:p>
    <w:p w14:paraId="6C2DBE55" w14:textId="3EB3EAF3" w:rsidR="004B50AA" w:rsidRPr="00632EEA"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Pliure : 4 pc.</w:t>
      </w:r>
    </w:p>
    <w:p w14:paraId="31EBA3EA" w14:textId="77777777" w:rsidR="004B50AA" w:rsidRPr="00632EEA"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aluminium</w:t>
      </w:r>
    </w:p>
    <w:p w14:paraId="37FC042D" w14:textId="77777777" w:rsidR="004B50AA" w:rsidRPr="00632EEA"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Alliage : AlMn1Mg0,5, H41</w:t>
      </w:r>
    </w:p>
    <w:p w14:paraId="5A3906B7" w14:textId="14A76C22" w:rsidR="004B50AA" w:rsidRPr="00632EEA"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1,00 mm</w:t>
      </w:r>
    </w:p>
    <w:p w14:paraId="58C3888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605A5C8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59D19BD" w14:textId="77777777" w:rsidR="004B50AA" w:rsidRPr="00632EEA"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76F127F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C966946"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1516DBB" w14:textId="5AAFE894"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02.07.13 Réalisation de pénétrations</w:t>
      </w:r>
    </w:p>
    <w:p w14:paraId="3BEB8DD4"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Réalisation de pénétrations pour profils porteurs (par ex. pour panneaux publicitaires, systèmes de ventilation, etc.) ; pénétrations réalisées dans l’habillage de façade PREFA ; comprend les structures porteuses et les constructions auxiliaires, le matériel de fixation, le mastic d’étanchéité ainsi que l’ajustage à l’habillage de façade PREFA.</w:t>
      </w:r>
    </w:p>
    <w:p w14:paraId="56ACD143"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3EE4C99D" w14:textId="7EBB0D3C"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de l’ouverture : … × … mm</w:t>
      </w:r>
    </w:p>
    <w:p w14:paraId="6A17507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B75F909" w14:textId="77777777" w:rsidR="004B50AA" w:rsidRPr="00632EEA"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17DF9D0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8979EFB"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BBAFF0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02.07.14 Bande d’aluminium perforée PREFA pour façades ventilées</w:t>
      </w:r>
    </w:p>
    <w:p w14:paraId="7FD7063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bandes d’aluminium perforées (perforations circulaires) ; pour entrée et sortie d’air ; protection de la lame d’air contre les insectes et les oiseaux ; matériel de fixation compris.</w:t>
      </w:r>
    </w:p>
    <w:p w14:paraId="77162EE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911C29C" w14:textId="00402341" w:rsidR="004B50AA" w:rsidRPr="00632EE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2963B629" w14:textId="77777777" w:rsidR="004B50AA" w:rsidRPr="00632EE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selon les besoins</w:t>
      </w:r>
    </w:p>
    <w:p w14:paraId="7150146A" w14:textId="77777777" w:rsidR="004B50AA" w:rsidRPr="00632EE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Matériau : aluminium</w:t>
      </w:r>
    </w:p>
    <w:p w14:paraId="282C1853" w14:textId="77777777" w:rsidR="004B50AA" w:rsidRPr="00632EE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Alliage : EN AW-3005</w:t>
      </w:r>
    </w:p>
    <w:p w14:paraId="3EADFEB2" w14:textId="6F63B535" w:rsidR="004B50AA" w:rsidRPr="00632EE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3410C4A3" w14:textId="2A5BA4F9" w:rsidR="004B50AA" w:rsidRPr="00632EE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 xml:space="preserve">Perforations circulaires : </w:t>
      </w:r>
      <w:r>
        <w:rPr>
          <w:rFonts w:ascii="Menlo Regular" w:hAnsi="Menlo Regular"/>
          <w:sz w:val="20"/>
          <w:szCs w:val="20"/>
        </w:rPr>
        <w:t>⌀</w:t>
      </w:r>
      <w:r>
        <w:rPr>
          <w:rFonts w:ascii="Arial" w:hAnsi="Arial"/>
          <w:sz w:val="20"/>
          <w:szCs w:val="20"/>
        </w:rPr>
        <w:t xml:space="preserve"> 5 mm</w:t>
      </w:r>
    </w:p>
    <w:p w14:paraId="0254701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C5DECA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A4C1CD5" w14:textId="77777777" w:rsidR="004B50AA" w:rsidRPr="00632EEA"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14FAEC4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9470B8C"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592FD0F" w14:textId="560D2ACE"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02.07.15 Facturation en régie — Nombre d’heures d’ouvriers qualifiés</w:t>
      </w:r>
    </w:p>
    <w:p w14:paraId="6303046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lastRenderedPageBreak/>
        <w:t>Facturation en régie — Nombre d’heures d’ouvriers qualifiés</w:t>
      </w:r>
    </w:p>
    <w:p w14:paraId="05CC1EF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2CB8FEB" w14:textId="21E1B1CB" w:rsidR="004B50AA" w:rsidRPr="00632EEA"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h</w:t>
      </w:r>
      <w:r>
        <w:rPr>
          <w:rFonts w:ascii="Arial" w:hAnsi="Arial"/>
          <w:sz w:val="20"/>
          <w:szCs w:val="20"/>
        </w:rPr>
        <w:tab/>
        <w:t>PU _____________  PT _____________</w:t>
      </w:r>
    </w:p>
    <w:p w14:paraId="565CDCB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38C817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04ED3E6" w14:textId="1703C143"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02.07.16 Facturation en régie — Nombre d’heures de manœuvres</w:t>
      </w:r>
    </w:p>
    <w:p w14:paraId="6B23DE1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Facturation en régie — Nombre d’heures de manœuvres</w:t>
      </w:r>
    </w:p>
    <w:p w14:paraId="5A0C19C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D450404" w14:textId="708CD7CC" w:rsidR="004B50AA" w:rsidRPr="00632EEA"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h</w:t>
      </w:r>
      <w:r>
        <w:rPr>
          <w:rFonts w:ascii="Arial" w:hAnsi="Arial"/>
          <w:sz w:val="20"/>
          <w:szCs w:val="20"/>
        </w:rPr>
        <w:tab/>
        <w:t>PU _____________  PT _____________</w:t>
      </w:r>
    </w:p>
    <w:p w14:paraId="7BB7CD7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551468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sz w:val="20"/>
          <w:lang w:val="x-none" w:eastAsia="x-none"/>
        </w:rPr>
      </w:pPr>
    </w:p>
    <w:p w14:paraId="2A0BD18F"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rPr>
      </w:pPr>
      <w:r>
        <w:rPr>
          <w:rFonts w:ascii="Arial" w:hAnsi="Arial"/>
          <w:b/>
          <w:bCs/>
        </w:rPr>
        <w:t>Titre 02.07 Bardeau de façade  PT ____________</w:t>
      </w:r>
    </w:p>
    <w:p w14:paraId="227321FC" w14:textId="77777777" w:rsidR="004B50AA" w:rsidRPr="003C614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sz w:val="20"/>
        </w:rPr>
      </w:pPr>
      <w:r>
        <w:rPr>
          <w:rFonts w:ascii="Arial" w:hAnsi="Arial"/>
          <w:b/>
          <w:bCs/>
          <w:sz w:val="20"/>
        </w:rPr>
        <w:br w:type="page"/>
      </w:r>
      <w:r>
        <w:rPr>
          <w:rFonts w:ascii="Arial" w:hAnsi="Arial"/>
          <w:b/>
          <w:bCs/>
          <w:sz w:val="20"/>
        </w:rPr>
        <w:lastRenderedPageBreak/>
        <w:t>  </w:t>
      </w:r>
    </w:p>
    <w:p w14:paraId="35EB7B84"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Récapitulatif</w:t>
      </w:r>
    </w:p>
    <w:p w14:paraId="25EE4EE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25670A7"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rPr>
      </w:pPr>
      <w:r>
        <w:rPr>
          <w:rFonts w:ascii="Arial" w:hAnsi="Arial"/>
        </w:rPr>
        <w:t>Titre 02.07 Bardeau de façade</w:t>
      </w:r>
    </w:p>
    <w:p w14:paraId="092C83FF" w14:textId="77777777" w:rsidR="004B50AA" w:rsidRPr="00632EEA"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sz w:val="20"/>
          <w:szCs w:val="20"/>
        </w:rPr>
      </w:pPr>
      <w:r>
        <w:rPr>
          <w:rFonts w:ascii="Arial" w:hAnsi="Arial"/>
          <w:sz w:val="20"/>
          <w:szCs w:val="20"/>
        </w:rPr>
        <w:t>PT _____________</w:t>
      </w:r>
    </w:p>
    <w:p w14:paraId="0BD0928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B90E934"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LV 02 Façades PREFA</w:t>
      </w:r>
    </w:p>
    <w:p w14:paraId="614F4C47"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rPr>
      </w:pPr>
      <w:r>
        <w:rPr>
          <w:rFonts w:ascii="Arial" w:hAnsi="Arial"/>
          <w:b/>
          <w:bCs/>
        </w:rPr>
        <w:t>PT __________</w:t>
      </w:r>
    </w:p>
    <w:p w14:paraId="3A2E1836" w14:textId="77777777" w:rsidR="004B50AA" w:rsidRPr="003C6144" w:rsidRDefault="004B50AA" w:rsidP="00C6725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Arial" w:hAnsi="Arial" w:cs="Arial"/>
          <w:b/>
          <w:bCs/>
          <w:sz w:val="20"/>
          <w:lang w:val="x-none" w:eastAsia="x-none"/>
        </w:rPr>
      </w:pPr>
    </w:p>
    <w:p w14:paraId="15638FFC" w14:textId="77777777" w:rsidR="004B50AA" w:rsidRPr="003C6144" w:rsidRDefault="004B50AA" w:rsidP="00C67253">
      <w:pPr>
        <w:rPr>
          <w:sz w:val="20"/>
        </w:rPr>
      </w:pPr>
    </w:p>
    <w:p w14:paraId="27976B26" w14:textId="77777777" w:rsidR="004B50AA" w:rsidRPr="003C6144" w:rsidRDefault="004B50AA">
      <w:pPr>
        <w:rPr>
          <w:sz w:val="20"/>
        </w:rPr>
      </w:pPr>
    </w:p>
    <w:p w14:paraId="1DBA4348" w14:textId="77777777" w:rsidR="009D5B78" w:rsidRPr="003C6144" w:rsidRDefault="009D5B78">
      <w:pPr>
        <w:rPr>
          <w:sz w:val="20"/>
        </w:rPr>
      </w:pPr>
    </w:p>
    <w:sectPr w:rsidR="009D5B78" w:rsidRPr="003C6144" w:rsidSect="00C67253">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783D0" w14:textId="77777777" w:rsidR="00212B10" w:rsidRDefault="00212B10" w:rsidP="00D5549D">
      <w:r>
        <w:separator/>
      </w:r>
    </w:p>
  </w:endnote>
  <w:endnote w:type="continuationSeparator" w:id="0">
    <w:p w14:paraId="0F3051E0" w14:textId="77777777" w:rsidR="00212B10" w:rsidRDefault="00212B10" w:rsidP="00D5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pt">
    <w:panose1 w:val="00000000000000000000"/>
    <w:charset w:val="00"/>
    <w:family w:val="auto"/>
    <w:notTrueType/>
    <w:pitch w:val="variable"/>
    <w:sig w:usb0="00000003" w:usb1="00000000" w:usb2="00000000" w:usb3="00000000" w:csb0="00000001"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CE772" w14:textId="77777777" w:rsidR="00212B10" w:rsidRPr="003C6144" w:rsidRDefault="00212B10">
    <w:pPr>
      <w:rPr>
        <w:sz w:val="20"/>
      </w:rPr>
    </w:pPr>
  </w:p>
  <w:p w14:paraId="6407E497" w14:textId="5D66A6E2" w:rsidR="00212B10" w:rsidRPr="003C6144" w:rsidRDefault="00212B10" w:rsidP="00C67253">
    <w:pPr>
      <w:rPr>
        <w:sz w:val="20"/>
      </w:rPr>
    </w:pPr>
    <w:r>
      <w:rPr>
        <w:sz w:val="20"/>
      </w:rPr>
      <w:t>PREFA Aluminiumprodukte GmbH</w:t>
    </w:r>
    <w:r>
      <w:rPr>
        <w:sz w:val="20"/>
      </w:rPr>
      <w:tab/>
    </w:r>
    <w:r>
      <w:rPr>
        <w:sz w:val="20"/>
      </w:rPr>
      <w:tab/>
    </w:r>
    <w:r>
      <w:rPr>
        <w:sz w:val="20"/>
      </w:rPr>
      <w:tab/>
    </w:r>
    <w:r>
      <w:rPr>
        <w:sz w:val="20"/>
      </w:rPr>
      <w:tab/>
    </w:r>
    <w:r>
      <w:rPr>
        <w:sz w:val="20"/>
      </w:rPr>
      <w:tab/>
    </w:r>
    <w:r>
      <w:rPr>
        <w:sz w:val="20"/>
      </w:rPr>
      <w:tab/>
    </w:r>
    <w:r>
      <w:rPr>
        <w:sz w:val="20"/>
      </w:rPr>
      <w:tab/>
      <w:t xml:space="preserve">page </w:t>
    </w:r>
    <w:r w:rsidRPr="003C6144">
      <w:rPr>
        <w:sz w:val="20"/>
      </w:rPr>
      <w:fldChar w:fldCharType="begin"/>
    </w:r>
    <w:r w:rsidRPr="003C6144">
      <w:rPr>
        <w:sz w:val="20"/>
      </w:rPr>
      <w:instrText xml:space="preserve"> PAGE </w:instrText>
    </w:r>
    <w:r w:rsidRPr="003C6144">
      <w:rPr>
        <w:sz w:val="20"/>
      </w:rPr>
      <w:fldChar w:fldCharType="separate"/>
    </w:r>
    <w:r w:rsidR="00132139">
      <w:rPr>
        <w:noProof/>
        <w:sz w:val="20"/>
      </w:rPr>
      <w:t>1</w:t>
    </w:r>
    <w:r w:rsidRPr="003C6144">
      <w:rPr>
        <w:sz w:val="20"/>
      </w:rPr>
      <w:fldChar w:fldCharType="end"/>
    </w:r>
    <w:r>
      <w:rPr>
        <w:sz w:val="20"/>
      </w:rPr>
      <w:t xml:space="preserve"> sur </w:t>
    </w:r>
    <w:r w:rsidRPr="003C6144">
      <w:rPr>
        <w:sz w:val="20"/>
      </w:rPr>
      <w:fldChar w:fldCharType="begin"/>
    </w:r>
    <w:r w:rsidRPr="003C6144">
      <w:rPr>
        <w:sz w:val="20"/>
      </w:rPr>
      <w:instrText xml:space="preserve"> NUMPAGES  </w:instrText>
    </w:r>
    <w:r w:rsidRPr="003C6144">
      <w:rPr>
        <w:sz w:val="20"/>
      </w:rPr>
      <w:fldChar w:fldCharType="separate"/>
    </w:r>
    <w:r w:rsidR="00132139">
      <w:rPr>
        <w:noProof/>
        <w:sz w:val="20"/>
      </w:rPr>
      <w:t>8</w:t>
    </w:r>
    <w:r w:rsidRPr="003C6144">
      <w:rPr>
        <w:sz w:val="20"/>
      </w:rPr>
      <w:fldChar w:fldCharType="end"/>
    </w:r>
  </w:p>
  <w:p w14:paraId="1DD96F71" w14:textId="77777777" w:rsidR="00212B10" w:rsidRPr="003C6144" w:rsidRDefault="00212B10" w:rsidP="00C67253">
    <w:pPr>
      <w:rPr>
        <w:sz w:val="20"/>
      </w:rPr>
    </w:pPr>
    <w:r>
      <w:rPr>
        <w:sz w:val="20"/>
      </w:rPr>
      <w:t>A-3182 Marktl/Lilienfeld (Autriche)</w:t>
    </w:r>
  </w:p>
  <w:p w14:paraId="21226E1A" w14:textId="56B7BFE6" w:rsidR="00212B10" w:rsidRDefault="00132139" w:rsidP="00C67253">
    <w:pPr>
      <w:pStyle w:val="Fuzeile"/>
    </w:pPr>
    <w:hyperlink r:id="rId1" w:history="1">
      <w:r w:rsidR="00212B10">
        <w:rPr>
          <w:rStyle w:val="Hyperlink"/>
          <w:color w:val="auto"/>
        </w:rPr>
        <w:t>www.prefa.com</w:t>
      </w:r>
    </w:hyperlink>
  </w:p>
  <w:p w14:paraId="3994FBD2" w14:textId="5E3E8FE0" w:rsidR="00212B10" w:rsidRPr="00A75A63" w:rsidRDefault="00212B10" w:rsidP="00C67253">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6382E" w14:textId="77777777" w:rsidR="00212B10" w:rsidRDefault="00212B10" w:rsidP="00D5549D">
      <w:r>
        <w:separator/>
      </w:r>
    </w:p>
  </w:footnote>
  <w:footnote w:type="continuationSeparator" w:id="0">
    <w:p w14:paraId="6A089520" w14:textId="77777777" w:rsidR="00212B10" w:rsidRDefault="00212B10" w:rsidP="00D55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3DC47" w14:textId="77777777" w:rsidR="00212B10" w:rsidRDefault="00212B10" w:rsidP="00C67253">
    <w:pPr>
      <w:pStyle w:val="Kopfzeile"/>
      <w:jc w:val="right"/>
    </w:pPr>
    <w:r>
      <w:tab/>
    </w:r>
    <w:r w:rsidR="00132139">
      <w:pict w14:anchorId="1D36D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i1025" type="#_x0000_t75" alt="Prefa Slogan+Logo.bmp" style="width:135.35pt;height:23.05pt;visibility:visible">
          <v:imagedata r:id="rId1" o:title="Prefa Slogan+Logo"/>
        </v:shape>
      </w:pict>
    </w:r>
  </w:p>
  <w:p w14:paraId="48164F55" w14:textId="77777777" w:rsidR="00212B10" w:rsidRDefault="00212B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33413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bullet"/>
      <w:lvlText w:val=""/>
      <w:lvlJc w:val="left"/>
      <w:rPr>
        <w:rFonts w:ascii="Symbol" w:hAnsi="Symbol" w:cs="Symbol" w:hint="default"/>
        <w:b w:val="0"/>
        <w:bCs w:val="0"/>
        <w:i w:val="0"/>
        <w:iCs w:val="0"/>
        <w:strike w:val="0"/>
        <w:color w:val="000000"/>
        <w:sz w:val="20"/>
        <w:szCs w:val="20"/>
        <w:u w:val="none"/>
      </w:rPr>
    </w:lvl>
    <w:lvl w:ilvl="1">
      <w:start w:val="1"/>
      <w:numFmt w:val="bullet"/>
      <w:lvlText w:val=""/>
      <w:lvlJc w:val="left"/>
      <w:rPr>
        <w:rFonts w:ascii="Symbol" w:hAnsi="Symbol" w:cs="Symbol" w:hint="default"/>
        <w:b w:val="0"/>
        <w:bCs w:val="0"/>
        <w:i w:val="0"/>
        <w:iCs w:val="0"/>
        <w:strike w:val="0"/>
        <w:color w:val="000000"/>
        <w:sz w:val="20"/>
        <w:szCs w:val="20"/>
        <w:u w:val="none"/>
      </w:rPr>
    </w:lvl>
    <w:lvl w:ilvl="2">
      <w:start w:val="1"/>
      <w:numFmt w:val="bullet"/>
      <w:lvlText w:val=""/>
      <w:lvlJc w:val="left"/>
      <w:rPr>
        <w:rFonts w:ascii="Symbol" w:hAnsi="Symbol" w:cs="Symbol" w:hint="default"/>
        <w:b w:val="0"/>
        <w:bCs w:val="0"/>
        <w:i w:val="0"/>
        <w:iCs w:val="0"/>
        <w:strike w:val="0"/>
        <w:color w:val="000000"/>
        <w:sz w:val="20"/>
        <w:szCs w:val="20"/>
        <w:u w:val="none"/>
      </w:rPr>
    </w:lvl>
    <w:lvl w:ilvl="3">
      <w:start w:val="1"/>
      <w:numFmt w:val="bullet"/>
      <w:lvlText w:val=""/>
      <w:lvlJc w:val="left"/>
      <w:rPr>
        <w:rFonts w:ascii="Symbol" w:hAnsi="Symbol" w:cs="Symbol" w:hint="default"/>
        <w:b w:val="0"/>
        <w:bCs w:val="0"/>
        <w:i w:val="0"/>
        <w:iCs w:val="0"/>
        <w:strike w:val="0"/>
        <w:color w:val="000000"/>
        <w:sz w:val="20"/>
        <w:szCs w:val="20"/>
        <w:u w:val="none"/>
      </w:rPr>
    </w:lvl>
    <w:lvl w:ilvl="4">
      <w:start w:val="1"/>
      <w:numFmt w:val="bullet"/>
      <w:lvlText w:val=""/>
      <w:lvlJc w:val="left"/>
      <w:rPr>
        <w:rFonts w:ascii="Symbol" w:hAnsi="Symbol" w:cs="Symbol" w:hint="default"/>
        <w:b w:val="0"/>
        <w:bCs w:val="0"/>
        <w:i w:val="0"/>
        <w:iCs w:val="0"/>
        <w:strike w:val="0"/>
        <w:color w:val="000000"/>
        <w:sz w:val="20"/>
        <w:szCs w:val="20"/>
        <w:u w:val="none"/>
      </w:rPr>
    </w:lvl>
    <w:lvl w:ilvl="5">
      <w:start w:val="1"/>
      <w:numFmt w:val="bullet"/>
      <w:lvlText w:val=""/>
      <w:lvlJc w:val="left"/>
      <w:rPr>
        <w:rFonts w:ascii="Symbol" w:hAnsi="Symbol" w:cs="Symbol" w:hint="default"/>
        <w:b w:val="0"/>
        <w:bCs w:val="0"/>
        <w:i w:val="0"/>
        <w:iCs w:val="0"/>
        <w:strike w:val="0"/>
        <w:color w:val="000000"/>
        <w:sz w:val="20"/>
        <w:szCs w:val="20"/>
        <w:u w:val="none"/>
      </w:rPr>
    </w:lvl>
    <w:lvl w:ilvl="6">
      <w:start w:val="1"/>
      <w:numFmt w:val="bullet"/>
      <w:lvlText w:val=""/>
      <w:lvlJc w:val="left"/>
      <w:rPr>
        <w:rFonts w:ascii="Symbol" w:hAnsi="Symbol" w:cs="Symbol" w:hint="default"/>
        <w:b w:val="0"/>
        <w:bCs w:val="0"/>
        <w:i w:val="0"/>
        <w:iCs w:val="0"/>
        <w:strike w:val="0"/>
        <w:color w:val="000000"/>
        <w:sz w:val="20"/>
        <w:szCs w:val="20"/>
        <w:u w:val="none"/>
      </w:rPr>
    </w:lvl>
    <w:lvl w:ilvl="7">
      <w:start w:val="1"/>
      <w:numFmt w:val="bullet"/>
      <w:lvlText w:val=""/>
      <w:lvlJc w:val="left"/>
      <w:rPr>
        <w:rFonts w:ascii="Symbol" w:hAnsi="Symbol" w:cs="Symbol" w:hint="default"/>
        <w:b w:val="0"/>
        <w:bCs w:val="0"/>
        <w:i w:val="0"/>
        <w:iCs w:val="0"/>
        <w:strike w:val="0"/>
        <w:color w:val="000000"/>
        <w:sz w:val="20"/>
        <w:szCs w:val="20"/>
        <w:u w:val="none"/>
      </w:rPr>
    </w:lvl>
    <w:lvl w:ilvl="8">
      <w:start w:val="1"/>
      <w:numFmt w:val="bullet"/>
      <w:lvlText w:val=""/>
      <w:lvlJc w:val="left"/>
      <w:rPr>
        <w:rFonts w:ascii="Symbol" w:hAnsi="Symbol" w:cs="Symbol" w:hint="default"/>
        <w:b w:val="0"/>
        <w:bCs w:val="0"/>
        <w:i w:val="0"/>
        <w:iCs w:val="0"/>
        <w:strike w:val="0"/>
        <w:color w:val="000000"/>
        <w:sz w:val="20"/>
        <w:szCs w:val="20"/>
        <w:u w:val="none"/>
      </w:rPr>
    </w:lvl>
  </w:abstractNum>
  <w:abstractNum w:abstractNumId="2" w15:restartNumberingAfterBreak="0">
    <w:nsid w:val="02DA1BA5"/>
    <w:multiLevelType w:val="hybridMultilevel"/>
    <w:tmpl w:val="8DAEC86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6B27AA"/>
    <w:multiLevelType w:val="hybridMultilevel"/>
    <w:tmpl w:val="CDFCF61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B23F5B"/>
    <w:multiLevelType w:val="hybridMultilevel"/>
    <w:tmpl w:val="AF3E62D8"/>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F67B87"/>
    <w:multiLevelType w:val="hybridMultilevel"/>
    <w:tmpl w:val="7CA092F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D44634"/>
    <w:multiLevelType w:val="hybridMultilevel"/>
    <w:tmpl w:val="DB2263DC"/>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7B19BE"/>
    <w:multiLevelType w:val="hybridMultilevel"/>
    <w:tmpl w:val="A5D424D2"/>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264DE7"/>
    <w:multiLevelType w:val="hybridMultilevel"/>
    <w:tmpl w:val="C00E93D0"/>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A05B52"/>
    <w:multiLevelType w:val="hybridMultilevel"/>
    <w:tmpl w:val="14DED2F8"/>
    <w:lvl w:ilvl="0" w:tplc="FF54CB7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2E1127"/>
    <w:multiLevelType w:val="hybridMultilevel"/>
    <w:tmpl w:val="80CA5FE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496EAF"/>
    <w:multiLevelType w:val="hybridMultilevel"/>
    <w:tmpl w:val="44FA8B8C"/>
    <w:lvl w:ilvl="0" w:tplc="CD5CC6B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19E67C8"/>
    <w:multiLevelType w:val="multilevel"/>
    <w:tmpl w:val="8006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3C6CF0"/>
    <w:multiLevelType w:val="hybridMultilevel"/>
    <w:tmpl w:val="070C9E64"/>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BB6CBD"/>
    <w:multiLevelType w:val="hybridMultilevel"/>
    <w:tmpl w:val="CB809158"/>
    <w:lvl w:ilvl="0" w:tplc="F500918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6239D2"/>
    <w:multiLevelType w:val="hybridMultilevel"/>
    <w:tmpl w:val="DC5EA980"/>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8A2C33"/>
    <w:multiLevelType w:val="hybridMultilevel"/>
    <w:tmpl w:val="9DC87AC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E3294F"/>
    <w:multiLevelType w:val="hybridMultilevel"/>
    <w:tmpl w:val="D604E9F0"/>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87312D"/>
    <w:multiLevelType w:val="multilevel"/>
    <w:tmpl w:val="9A56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851697"/>
    <w:multiLevelType w:val="hybridMultilevel"/>
    <w:tmpl w:val="CDB2DE00"/>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213B51"/>
    <w:multiLevelType w:val="hybridMultilevel"/>
    <w:tmpl w:val="C1741B0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3C3FF8"/>
    <w:multiLevelType w:val="hybridMultilevel"/>
    <w:tmpl w:val="D9D8CD7C"/>
    <w:lvl w:ilvl="0" w:tplc="804ECAB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0A0702D"/>
    <w:multiLevelType w:val="hybridMultilevel"/>
    <w:tmpl w:val="84088B80"/>
    <w:lvl w:ilvl="0" w:tplc="F4AE4B1A">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44B344A"/>
    <w:multiLevelType w:val="hybridMultilevel"/>
    <w:tmpl w:val="9456253C"/>
    <w:lvl w:ilvl="0" w:tplc="651E9834">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5AC1C7B"/>
    <w:multiLevelType w:val="hybridMultilevel"/>
    <w:tmpl w:val="F57E77A4"/>
    <w:lvl w:ilvl="0" w:tplc="9528C688">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D382D54"/>
    <w:multiLevelType w:val="hybridMultilevel"/>
    <w:tmpl w:val="6B3676A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2956DA6"/>
    <w:multiLevelType w:val="hybridMultilevel"/>
    <w:tmpl w:val="74344916"/>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324A36"/>
    <w:multiLevelType w:val="hybridMultilevel"/>
    <w:tmpl w:val="69205976"/>
    <w:lvl w:ilvl="0" w:tplc="F52658A6">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01703D"/>
    <w:multiLevelType w:val="multilevel"/>
    <w:tmpl w:val="575E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273CF7"/>
    <w:multiLevelType w:val="hybridMultilevel"/>
    <w:tmpl w:val="B4C6893C"/>
    <w:lvl w:ilvl="0" w:tplc="AE44F80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EE94124"/>
    <w:multiLevelType w:val="hybridMultilevel"/>
    <w:tmpl w:val="56D475E0"/>
    <w:lvl w:ilvl="0" w:tplc="183E5946">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F916251"/>
    <w:multiLevelType w:val="hybridMultilevel"/>
    <w:tmpl w:val="038A2D96"/>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28334A"/>
    <w:multiLevelType w:val="hybridMultilevel"/>
    <w:tmpl w:val="C8F03144"/>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B831806"/>
    <w:multiLevelType w:val="hybridMultilevel"/>
    <w:tmpl w:val="9B78E4E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F2F1425"/>
    <w:multiLevelType w:val="hybridMultilevel"/>
    <w:tmpl w:val="7570A59E"/>
    <w:lvl w:ilvl="0" w:tplc="DE5036B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start w:val="1"/>
        <w:numFmt w:val="bullet"/>
        <w:suff w:val="space"/>
        <w:lvlText w:val=""/>
        <w:lvlJc w:val="left"/>
        <w:rPr>
          <w:rFonts w:ascii="Symbol" w:hAnsi="Symbol" w:cs="Symbol" w:hint="default"/>
          <w:b w:val="0"/>
          <w:bCs w:val="0"/>
          <w:i w:val="0"/>
          <w:iCs w:val="0"/>
          <w:strike w:val="0"/>
          <w:color w:val="auto"/>
          <w:sz w:val="20"/>
          <w:szCs w:val="20"/>
          <w:u w:val="none"/>
        </w:rPr>
      </w:lvl>
    </w:lvlOverride>
    <w:lvlOverride w:ilvl="1">
      <w:lvl w:ilvl="1">
        <w:start w:val="1"/>
        <w:numFmt w:val="bullet"/>
        <w:lvlText w:val=""/>
        <w:lvlJc w:val="left"/>
        <w:rPr>
          <w:rFonts w:ascii="Symbol" w:hAnsi="Symbol" w:cs="Symbol" w:hint="default"/>
          <w:b w:val="0"/>
          <w:bCs w:val="0"/>
          <w:i w:val="0"/>
          <w:iCs w:val="0"/>
          <w:strike w:val="0"/>
          <w:color w:val="000000"/>
          <w:sz w:val="20"/>
          <w:szCs w:val="20"/>
          <w:u w:val="none"/>
        </w:rPr>
      </w:lvl>
    </w:lvlOverride>
    <w:lvlOverride w:ilvl="2">
      <w:lvl w:ilvl="2">
        <w:start w:val="1"/>
        <w:numFmt w:val="bullet"/>
        <w:lvlText w:val=""/>
        <w:lvlJc w:val="left"/>
        <w:rPr>
          <w:rFonts w:ascii="Symbol" w:hAnsi="Symbol" w:cs="Symbol" w:hint="default"/>
          <w:b w:val="0"/>
          <w:bCs w:val="0"/>
          <w:i w:val="0"/>
          <w:iCs w:val="0"/>
          <w:strike w:val="0"/>
          <w:color w:val="000000"/>
          <w:sz w:val="20"/>
          <w:szCs w:val="20"/>
          <w:u w:val="none"/>
        </w:rPr>
      </w:lvl>
    </w:lvlOverride>
    <w:lvlOverride w:ilvl="3">
      <w:lvl w:ilvl="3">
        <w:start w:val="1"/>
        <w:numFmt w:val="bullet"/>
        <w:lvlText w:val=""/>
        <w:lvlJc w:val="left"/>
        <w:rPr>
          <w:rFonts w:ascii="Symbol" w:hAnsi="Symbol" w:cs="Symbol" w:hint="default"/>
          <w:b w:val="0"/>
          <w:bCs w:val="0"/>
          <w:i w:val="0"/>
          <w:iCs w:val="0"/>
          <w:strike w:val="0"/>
          <w:color w:val="000000"/>
          <w:sz w:val="20"/>
          <w:szCs w:val="20"/>
          <w:u w:val="none"/>
        </w:rPr>
      </w:lvl>
    </w:lvlOverride>
    <w:lvlOverride w:ilvl="4">
      <w:lvl w:ilvl="4">
        <w:start w:val="1"/>
        <w:numFmt w:val="bullet"/>
        <w:lvlText w:val=""/>
        <w:lvlJc w:val="left"/>
        <w:rPr>
          <w:rFonts w:ascii="Symbol" w:hAnsi="Symbol" w:cs="Symbol" w:hint="default"/>
          <w:b w:val="0"/>
          <w:bCs w:val="0"/>
          <w:i w:val="0"/>
          <w:iCs w:val="0"/>
          <w:strike w:val="0"/>
          <w:color w:val="000000"/>
          <w:sz w:val="20"/>
          <w:szCs w:val="20"/>
          <w:u w:val="none"/>
        </w:rPr>
      </w:lvl>
    </w:lvlOverride>
    <w:lvlOverride w:ilvl="5">
      <w:lvl w:ilvl="5">
        <w:start w:val="1"/>
        <w:numFmt w:val="bullet"/>
        <w:lvlText w:val=""/>
        <w:lvlJc w:val="left"/>
        <w:rPr>
          <w:rFonts w:ascii="Symbol" w:hAnsi="Symbol" w:cs="Symbol" w:hint="default"/>
          <w:b w:val="0"/>
          <w:bCs w:val="0"/>
          <w:i w:val="0"/>
          <w:iCs w:val="0"/>
          <w:strike w:val="0"/>
          <w:color w:val="000000"/>
          <w:sz w:val="20"/>
          <w:szCs w:val="20"/>
          <w:u w:val="none"/>
        </w:rPr>
      </w:lvl>
    </w:lvlOverride>
    <w:lvlOverride w:ilvl="6">
      <w:lvl w:ilvl="6">
        <w:start w:val="1"/>
        <w:numFmt w:val="bullet"/>
        <w:lvlText w:val=""/>
        <w:lvlJc w:val="left"/>
        <w:rPr>
          <w:rFonts w:ascii="Symbol" w:hAnsi="Symbol" w:cs="Symbol" w:hint="default"/>
          <w:b w:val="0"/>
          <w:bCs w:val="0"/>
          <w:i w:val="0"/>
          <w:iCs w:val="0"/>
          <w:strike w:val="0"/>
          <w:color w:val="000000"/>
          <w:sz w:val="20"/>
          <w:szCs w:val="20"/>
          <w:u w:val="none"/>
        </w:rPr>
      </w:lvl>
    </w:lvlOverride>
    <w:lvlOverride w:ilvl="7">
      <w:lvl w:ilvl="7">
        <w:start w:val="1"/>
        <w:numFmt w:val="bullet"/>
        <w:lvlText w:val=""/>
        <w:lvlJc w:val="left"/>
        <w:rPr>
          <w:rFonts w:ascii="Symbol" w:hAnsi="Symbol" w:cs="Symbol" w:hint="default"/>
          <w:b w:val="0"/>
          <w:bCs w:val="0"/>
          <w:i w:val="0"/>
          <w:iCs w:val="0"/>
          <w:strike w:val="0"/>
          <w:color w:val="000000"/>
          <w:sz w:val="20"/>
          <w:szCs w:val="20"/>
          <w:u w:val="none"/>
        </w:rPr>
      </w:lvl>
    </w:lvlOverride>
    <w:lvlOverride w:ilvl="8">
      <w:lvl w:ilvl="8">
        <w:start w:val="1"/>
        <w:numFmt w:val="bullet"/>
        <w:lvlText w:val=""/>
        <w:lvlJc w:val="left"/>
        <w:rPr>
          <w:rFonts w:ascii="Symbol" w:hAnsi="Symbol" w:cs="Symbol" w:hint="default"/>
          <w:b w:val="0"/>
          <w:bCs w:val="0"/>
          <w:i w:val="0"/>
          <w:iCs w:val="0"/>
          <w:strike w:val="0"/>
          <w:color w:val="000000"/>
          <w:sz w:val="20"/>
          <w:szCs w:val="20"/>
          <w:u w:val="none"/>
        </w:rPr>
      </w:lvl>
    </w:lvlOverride>
  </w:num>
  <w:num w:numId="3">
    <w:abstractNumId w:val="1"/>
  </w:num>
  <w:num w:numId="4">
    <w:abstractNumId w:val="29"/>
  </w:num>
  <w:num w:numId="5">
    <w:abstractNumId w:val="9"/>
  </w:num>
  <w:num w:numId="6">
    <w:abstractNumId w:val="0"/>
  </w:num>
  <w:num w:numId="7">
    <w:abstractNumId w:val="3"/>
  </w:num>
  <w:num w:numId="8">
    <w:abstractNumId w:val="5"/>
  </w:num>
  <w:num w:numId="9">
    <w:abstractNumId w:val="34"/>
  </w:num>
  <w:num w:numId="10">
    <w:abstractNumId w:val="8"/>
  </w:num>
  <w:num w:numId="11">
    <w:abstractNumId w:val="11"/>
  </w:num>
  <w:num w:numId="12">
    <w:abstractNumId w:val="10"/>
  </w:num>
  <w:num w:numId="13">
    <w:abstractNumId w:val="18"/>
  </w:num>
  <w:num w:numId="14">
    <w:abstractNumId w:val="23"/>
  </w:num>
  <w:num w:numId="15">
    <w:abstractNumId w:val="27"/>
  </w:num>
  <w:num w:numId="16">
    <w:abstractNumId w:val="26"/>
  </w:num>
  <w:num w:numId="17">
    <w:abstractNumId w:val="14"/>
  </w:num>
  <w:num w:numId="18">
    <w:abstractNumId w:val="15"/>
  </w:num>
  <w:num w:numId="19">
    <w:abstractNumId w:val="28"/>
  </w:num>
  <w:num w:numId="20">
    <w:abstractNumId w:val="30"/>
  </w:num>
  <w:num w:numId="21">
    <w:abstractNumId w:val="21"/>
  </w:num>
  <w:num w:numId="22">
    <w:abstractNumId w:val="6"/>
  </w:num>
  <w:num w:numId="23">
    <w:abstractNumId w:val="12"/>
  </w:num>
  <w:num w:numId="24">
    <w:abstractNumId w:val="22"/>
  </w:num>
  <w:num w:numId="25">
    <w:abstractNumId w:val="24"/>
  </w:num>
  <w:num w:numId="26">
    <w:abstractNumId w:val="19"/>
  </w:num>
  <w:num w:numId="27">
    <w:abstractNumId w:val="31"/>
  </w:num>
  <w:num w:numId="28">
    <w:abstractNumId w:val="13"/>
  </w:num>
  <w:num w:numId="29">
    <w:abstractNumId w:val="16"/>
  </w:num>
  <w:num w:numId="30">
    <w:abstractNumId w:val="25"/>
  </w:num>
  <w:num w:numId="31">
    <w:abstractNumId w:val="7"/>
  </w:num>
  <w:num w:numId="32">
    <w:abstractNumId w:val="2"/>
  </w:num>
  <w:num w:numId="33">
    <w:abstractNumId w:val="32"/>
  </w:num>
  <w:num w:numId="34">
    <w:abstractNumId w:val="4"/>
  </w:num>
  <w:num w:numId="35">
    <w:abstractNumId w:val="17"/>
  </w:num>
  <w:num w:numId="36">
    <w:abstractNumId w:val="3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AA"/>
    <w:rsid w:val="00005954"/>
    <w:rsid w:val="000575D3"/>
    <w:rsid w:val="00066857"/>
    <w:rsid w:val="00067ACA"/>
    <w:rsid w:val="0008237C"/>
    <w:rsid w:val="000C662D"/>
    <w:rsid w:val="000D75E6"/>
    <w:rsid w:val="000E5E56"/>
    <w:rsid w:val="00120688"/>
    <w:rsid w:val="00132139"/>
    <w:rsid w:val="0014572A"/>
    <w:rsid w:val="001526CE"/>
    <w:rsid w:val="00154385"/>
    <w:rsid w:val="0018769B"/>
    <w:rsid w:val="001A208A"/>
    <w:rsid w:val="001B3F5D"/>
    <w:rsid w:val="001F404D"/>
    <w:rsid w:val="001F52BA"/>
    <w:rsid w:val="002031C0"/>
    <w:rsid w:val="00212B10"/>
    <w:rsid w:val="00224879"/>
    <w:rsid w:val="00225F5A"/>
    <w:rsid w:val="002312C1"/>
    <w:rsid w:val="00277601"/>
    <w:rsid w:val="002833D7"/>
    <w:rsid w:val="002D654F"/>
    <w:rsid w:val="003102D4"/>
    <w:rsid w:val="00367873"/>
    <w:rsid w:val="00374371"/>
    <w:rsid w:val="00390C3F"/>
    <w:rsid w:val="003B5CE5"/>
    <w:rsid w:val="003C4F35"/>
    <w:rsid w:val="003C6144"/>
    <w:rsid w:val="00401FDE"/>
    <w:rsid w:val="0042484F"/>
    <w:rsid w:val="00432AFC"/>
    <w:rsid w:val="0043339B"/>
    <w:rsid w:val="004356AA"/>
    <w:rsid w:val="004B50AA"/>
    <w:rsid w:val="004B702F"/>
    <w:rsid w:val="004C17A5"/>
    <w:rsid w:val="004C255B"/>
    <w:rsid w:val="004D22D4"/>
    <w:rsid w:val="004D40C0"/>
    <w:rsid w:val="004F5B33"/>
    <w:rsid w:val="00503114"/>
    <w:rsid w:val="005079B0"/>
    <w:rsid w:val="00522A71"/>
    <w:rsid w:val="00522FF3"/>
    <w:rsid w:val="005263B9"/>
    <w:rsid w:val="00534A73"/>
    <w:rsid w:val="005400B7"/>
    <w:rsid w:val="0055473C"/>
    <w:rsid w:val="00557292"/>
    <w:rsid w:val="00575AE9"/>
    <w:rsid w:val="005A1A53"/>
    <w:rsid w:val="005C0DDA"/>
    <w:rsid w:val="005E4DC6"/>
    <w:rsid w:val="00625FA2"/>
    <w:rsid w:val="00643428"/>
    <w:rsid w:val="00671E60"/>
    <w:rsid w:val="00683F90"/>
    <w:rsid w:val="006926E0"/>
    <w:rsid w:val="006A6B98"/>
    <w:rsid w:val="006B5EF7"/>
    <w:rsid w:val="006C7B36"/>
    <w:rsid w:val="006D10EB"/>
    <w:rsid w:val="006E2813"/>
    <w:rsid w:val="006E4D85"/>
    <w:rsid w:val="006F382B"/>
    <w:rsid w:val="00707BC4"/>
    <w:rsid w:val="007156E0"/>
    <w:rsid w:val="0076166F"/>
    <w:rsid w:val="0077439C"/>
    <w:rsid w:val="00784B57"/>
    <w:rsid w:val="00786479"/>
    <w:rsid w:val="00791BAB"/>
    <w:rsid w:val="007B05CD"/>
    <w:rsid w:val="007B0D02"/>
    <w:rsid w:val="007C7B79"/>
    <w:rsid w:val="007F516A"/>
    <w:rsid w:val="00801D30"/>
    <w:rsid w:val="008176B6"/>
    <w:rsid w:val="008565C4"/>
    <w:rsid w:val="00872007"/>
    <w:rsid w:val="008D0A34"/>
    <w:rsid w:val="008E6369"/>
    <w:rsid w:val="008F67B9"/>
    <w:rsid w:val="009506B6"/>
    <w:rsid w:val="009672E3"/>
    <w:rsid w:val="009911D0"/>
    <w:rsid w:val="009A0005"/>
    <w:rsid w:val="009C5159"/>
    <w:rsid w:val="009C68F7"/>
    <w:rsid w:val="009D35F9"/>
    <w:rsid w:val="009D5B78"/>
    <w:rsid w:val="00A12138"/>
    <w:rsid w:val="00A12778"/>
    <w:rsid w:val="00A673F0"/>
    <w:rsid w:val="00AB69D6"/>
    <w:rsid w:val="00AD4D79"/>
    <w:rsid w:val="00AE4F71"/>
    <w:rsid w:val="00AF0BEF"/>
    <w:rsid w:val="00B166EB"/>
    <w:rsid w:val="00B25792"/>
    <w:rsid w:val="00B26D16"/>
    <w:rsid w:val="00B4659B"/>
    <w:rsid w:val="00B47E6D"/>
    <w:rsid w:val="00B54E89"/>
    <w:rsid w:val="00B81007"/>
    <w:rsid w:val="00BC676E"/>
    <w:rsid w:val="00BE131E"/>
    <w:rsid w:val="00C000E1"/>
    <w:rsid w:val="00C11A9A"/>
    <w:rsid w:val="00C14F2A"/>
    <w:rsid w:val="00C57A8F"/>
    <w:rsid w:val="00C67253"/>
    <w:rsid w:val="00C87265"/>
    <w:rsid w:val="00C95C3E"/>
    <w:rsid w:val="00CA4977"/>
    <w:rsid w:val="00CE7876"/>
    <w:rsid w:val="00D101F8"/>
    <w:rsid w:val="00D1260F"/>
    <w:rsid w:val="00D17741"/>
    <w:rsid w:val="00D5549D"/>
    <w:rsid w:val="00DC6DC0"/>
    <w:rsid w:val="00DD10B8"/>
    <w:rsid w:val="00DD1777"/>
    <w:rsid w:val="00DF5F80"/>
    <w:rsid w:val="00E439CA"/>
    <w:rsid w:val="00E50CDF"/>
    <w:rsid w:val="00E5142A"/>
    <w:rsid w:val="00EB1AA4"/>
    <w:rsid w:val="00EB489E"/>
    <w:rsid w:val="00EB6678"/>
    <w:rsid w:val="00ED141C"/>
    <w:rsid w:val="00ED191E"/>
    <w:rsid w:val="00ED3EC6"/>
    <w:rsid w:val="00F0363D"/>
    <w:rsid w:val="00F13D38"/>
    <w:rsid w:val="00F27EFD"/>
    <w:rsid w:val="00F456BF"/>
    <w:rsid w:val="00F50D7A"/>
    <w:rsid w:val="00F51BD2"/>
    <w:rsid w:val="00FA710D"/>
    <w:rsid w:val="00FB17BC"/>
    <w:rsid w:val="00FD4302"/>
    <w:rsid w:val="00FF52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7AE25B1F"/>
  <w14:defaultImageDpi w14:val="300"/>
  <w15:docId w15:val="{7B265464-C7F6-47E2-AC61-6775C8F1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50AA"/>
    <w:pPr>
      <w:tabs>
        <w:tab w:val="center" w:pos="4536"/>
        <w:tab w:val="right" w:pos="9072"/>
      </w:tabs>
    </w:pPr>
    <w:rPr>
      <w:rFonts w:ascii="Calibri" w:eastAsia="Calibri" w:hAnsi="Calibri" w:cs="Times New Roman"/>
      <w:sz w:val="22"/>
      <w:szCs w:val="22"/>
      <w:lang w:eastAsia="en-US"/>
    </w:rPr>
  </w:style>
  <w:style w:type="character" w:customStyle="1" w:styleId="KopfzeileZchn">
    <w:name w:val="Kopfzeile Zchn"/>
    <w:basedOn w:val="Absatz-Standardschriftart"/>
    <w:link w:val="Kopfzeile"/>
    <w:uiPriority w:val="99"/>
    <w:rsid w:val="004B50AA"/>
    <w:rPr>
      <w:rFonts w:ascii="Calibri" w:eastAsia="Calibri" w:hAnsi="Calibri" w:cs="Times New Roman"/>
      <w:sz w:val="22"/>
      <w:szCs w:val="22"/>
      <w:lang w:val="fr-FR" w:eastAsia="en-US"/>
    </w:rPr>
  </w:style>
  <w:style w:type="paragraph" w:styleId="Fuzeile">
    <w:name w:val="footer"/>
    <w:basedOn w:val="Standard"/>
    <w:link w:val="FuzeileZchn"/>
    <w:uiPriority w:val="99"/>
    <w:unhideWhenUsed/>
    <w:rsid w:val="004B50AA"/>
    <w:pPr>
      <w:tabs>
        <w:tab w:val="center" w:pos="4536"/>
        <w:tab w:val="right" w:pos="9072"/>
      </w:tabs>
    </w:pPr>
    <w:rPr>
      <w:rFonts w:ascii="Calibri" w:eastAsia="Calibri" w:hAnsi="Calibri" w:cs="Times New Roman"/>
      <w:sz w:val="22"/>
      <w:szCs w:val="22"/>
      <w:lang w:eastAsia="en-US"/>
    </w:rPr>
  </w:style>
  <w:style w:type="character" w:customStyle="1" w:styleId="FuzeileZchn">
    <w:name w:val="Fußzeile Zchn"/>
    <w:basedOn w:val="Absatz-Standardschriftart"/>
    <w:link w:val="Fuzeile"/>
    <w:uiPriority w:val="99"/>
    <w:rsid w:val="004B50AA"/>
    <w:rPr>
      <w:rFonts w:ascii="Calibri" w:eastAsia="Calibri" w:hAnsi="Calibri" w:cs="Times New Roman"/>
      <w:sz w:val="22"/>
      <w:szCs w:val="22"/>
      <w:lang w:val="fr-FR" w:eastAsia="en-US"/>
    </w:rPr>
  </w:style>
  <w:style w:type="paragraph" w:styleId="Sprechblasentext">
    <w:name w:val="Balloon Text"/>
    <w:basedOn w:val="Standard"/>
    <w:link w:val="SprechblasentextZchn"/>
    <w:uiPriority w:val="99"/>
    <w:semiHidden/>
    <w:unhideWhenUsed/>
    <w:rsid w:val="004B50AA"/>
    <w:rPr>
      <w:rFonts w:ascii="Tahoma" w:eastAsia="Calibr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B50AA"/>
    <w:rPr>
      <w:rFonts w:ascii="Tahoma" w:eastAsia="Calibri" w:hAnsi="Tahoma" w:cs="Tahoma"/>
      <w:sz w:val="16"/>
      <w:szCs w:val="16"/>
      <w:lang w:val="fr-FR" w:eastAsia="en-US"/>
    </w:rPr>
  </w:style>
  <w:style w:type="character" w:styleId="Hyperlink">
    <w:name w:val="Hyperlink"/>
    <w:uiPriority w:val="99"/>
    <w:unhideWhenUsed/>
    <w:rsid w:val="004B50AA"/>
    <w:rPr>
      <w:color w:val="0000FF"/>
      <w:u w:val="single"/>
    </w:rPr>
  </w:style>
  <w:style w:type="character" w:styleId="Platzhaltertext">
    <w:name w:val="Placeholder Text"/>
    <w:uiPriority w:val="99"/>
    <w:semiHidden/>
    <w:rsid w:val="004B50AA"/>
    <w:rPr>
      <w:color w:val="808080"/>
    </w:rPr>
  </w:style>
  <w:style w:type="paragraph" w:customStyle="1" w:styleId="Normal">
    <w:name w:val="[Normal]"/>
    <w:uiPriority w:val="99"/>
    <w:rsid w:val="004B50AA"/>
    <w:pPr>
      <w:widowControl w:val="0"/>
      <w:autoSpaceDE w:val="0"/>
      <w:autoSpaceDN w:val="0"/>
      <w:adjustRightInd w:val="0"/>
    </w:pPr>
    <w:rPr>
      <w:rFonts w:ascii="Arial" w:eastAsia="Calibri" w:hAnsi="Arial" w:cs="Arial"/>
      <w:lang w:eastAsia="de-DE"/>
    </w:rPr>
  </w:style>
  <w:style w:type="paragraph" w:styleId="NurText">
    <w:name w:val="Plain Text"/>
    <w:basedOn w:val="Standard"/>
    <w:link w:val="NurTextZchn"/>
    <w:uiPriority w:val="99"/>
    <w:rsid w:val="004B50AA"/>
    <w:pPr>
      <w:widowControl w:val="0"/>
      <w:autoSpaceDE w:val="0"/>
      <w:autoSpaceDN w:val="0"/>
      <w:adjustRightInd w:val="0"/>
    </w:pPr>
    <w:rPr>
      <w:rFonts w:ascii="Courier New" w:eastAsia="Calibri" w:hAnsi="Courier New" w:cs="Courier New"/>
      <w:sz w:val="20"/>
      <w:szCs w:val="20"/>
      <w:lang w:eastAsia="de-DE"/>
    </w:rPr>
  </w:style>
  <w:style w:type="character" w:customStyle="1" w:styleId="NurTextZchn">
    <w:name w:val="Nur Text Zchn"/>
    <w:basedOn w:val="Absatz-Standardschriftart"/>
    <w:link w:val="NurText"/>
    <w:uiPriority w:val="99"/>
    <w:rsid w:val="004B50AA"/>
    <w:rPr>
      <w:rFonts w:ascii="Courier New" w:eastAsia="Calibri" w:hAnsi="Courier New" w:cs="Courier New"/>
      <w:sz w:val="20"/>
      <w:szCs w:val="20"/>
      <w:lang w:val="fr-FR" w:eastAsia="de-DE"/>
    </w:rPr>
  </w:style>
  <w:style w:type="numbering" w:customStyle="1" w:styleId="KeineListe1">
    <w:name w:val="Keine Liste1"/>
    <w:next w:val="KeineListe"/>
    <w:uiPriority w:val="99"/>
    <w:semiHidden/>
    <w:unhideWhenUsed/>
    <w:rsid w:val="004B50AA"/>
  </w:style>
  <w:style w:type="paragraph" w:customStyle="1" w:styleId="BODY">
    <w:name w:val="BODY"/>
    <w:basedOn w:val="Normal"/>
    <w:uiPriority w:val="99"/>
    <w:rsid w:val="004B50AA"/>
    <w:pPr>
      <w:widowControl/>
    </w:pPr>
    <w:rPr>
      <w:rFonts w:ascii="Arialpt" w:hAnsi="Arialpt" w:cs="Arialpt"/>
      <w:sz w:val="20"/>
      <w:szCs w:val="20"/>
    </w:rPr>
  </w:style>
  <w:style w:type="paragraph" w:customStyle="1" w:styleId="P">
    <w:name w:val="P"/>
    <w:basedOn w:val="BODY"/>
    <w:uiPriority w:val="99"/>
    <w:rsid w:val="004B50AA"/>
    <w:pPr>
      <w:tabs>
        <w:tab w:val="left" w:pos="0"/>
      </w:tabs>
      <w:ind w:right="6220"/>
    </w:pPr>
    <w:rPr>
      <w:rFonts w:ascii="Arial" w:hAnsi="Arial" w:cs="Arial"/>
    </w:rPr>
  </w:style>
  <w:style w:type="character" w:customStyle="1" w:styleId="B">
    <w:name w:val="B"/>
    <w:uiPriority w:val="99"/>
    <w:rsid w:val="004B50AA"/>
    <w:rPr>
      <w:b/>
      <w:bCs/>
    </w:rPr>
  </w:style>
  <w:style w:type="paragraph" w:styleId="StandardWeb">
    <w:name w:val="Normal (Web)"/>
    <w:basedOn w:val="Standard"/>
    <w:uiPriority w:val="99"/>
    <w:unhideWhenUsed/>
    <w:rsid w:val="004B50AA"/>
    <w:pPr>
      <w:spacing w:before="100" w:beforeAutospacing="1" w:after="100" w:afterAutospacing="1"/>
    </w:pPr>
    <w:rPr>
      <w:rFonts w:ascii="Times New Roman" w:eastAsia="Times New Roman" w:hAnsi="Times New Roman" w:cs="Times New Roman"/>
      <w:lang w:eastAsia="de-DE"/>
    </w:rPr>
  </w:style>
  <w:style w:type="character" w:styleId="Kommentarzeichen">
    <w:name w:val="annotation reference"/>
    <w:uiPriority w:val="99"/>
    <w:semiHidden/>
    <w:unhideWhenUsed/>
    <w:rsid w:val="004B50AA"/>
    <w:rPr>
      <w:sz w:val="16"/>
      <w:szCs w:val="16"/>
    </w:rPr>
  </w:style>
  <w:style w:type="paragraph" w:styleId="Kommentartext">
    <w:name w:val="annotation text"/>
    <w:basedOn w:val="Standard"/>
    <w:link w:val="KommentartextZchn"/>
    <w:uiPriority w:val="99"/>
    <w:semiHidden/>
    <w:unhideWhenUsed/>
    <w:rsid w:val="004B50AA"/>
    <w:rPr>
      <w:rFonts w:ascii="Calibri" w:eastAsia="Calibri" w:hAnsi="Calibri" w:cs="Times New Roman"/>
      <w:sz w:val="20"/>
      <w:szCs w:val="20"/>
      <w:lang w:eastAsia="en-US"/>
    </w:rPr>
  </w:style>
  <w:style w:type="character" w:customStyle="1" w:styleId="KommentartextZchn">
    <w:name w:val="Kommentartext Zchn"/>
    <w:basedOn w:val="Absatz-Standardschriftart"/>
    <w:link w:val="Kommentartext"/>
    <w:uiPriority w:val="99"/>
    <w:semiHidden/>
    <w:rsid w:val="004B50AA"/>
    <w:rPr>
      <w:rFonts w:ascii="Calibri" w:eastAsia="Calibri" w:hAnsi="Calibri" w:cs="Times New Roman"/>
      <w:sz w:val="20"/>
      <w:szCs w:val="20"/>
      <w:lang w:val="fr-FR" w:eastAsia="en-US"/>
    </w:rPr>
  </w:style>
  <w:style w:type="paragraph" w:styleId="Kommentarthema">
    <w:name w:val="annotation subject"/>
    <w:basedOn w:val="Kommentartext"/>
    <w:next w:val="Kommentartext"/>
    <w:link w:val="KommentarthemaZchn"/>
    <w:uiPriority w:val="99"/>
    <w:semiHidden/>
    <w:unhideWhenUsed/>
    <w:rsid w:val="004B50AA"/>
    <w:rPr>
      <w:b/>
      <w:bCs/>
    </w:rPr>
  </w:style>
  <w:style w:type="character" w:customStyle="1" w:styleId="KommentarthemaZchn">
    <w:name w:val="Kommentarthema Zchn"/>
    <w:basedOn w:val="KommentartextZchn"/>
    <w:link w:val="Kommentarthema"/>
    <w:uiPriority w:val="99"/>
    <w:semiHidden/>
    <w:rsid w:val="004B50AA"/>
    <w:rPr>
      <w:rFonts w:ascii="Calibri" w:eastAsia="Calibri" w:hAnsi="Calibri" w:cs="Times New Roman"/>
      <w:b/>
      <w:bCs/>
      <w:sz w:val="20"/>
      <w:szCs w:val="20"/>
      <w:lang w:val="fr-FR" w:eastAsia="en-US"/>
    </w:rPr>
  </w:style>
  <w:style w:type="paragraph" w:styleId="berarbeitung">
    <w:name w:val="Revision"/>
    <w:hidden/>
    <w:uiPriority w:val="71"/>
    <w:rsid w:val="004B50AA"/>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re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1600</Words>
  <Characters>10082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XXL Communication</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F. LORRE</dc:creator>
  <cp:keywords/>
  <dc:description/>
  <cp:lastModifiedBy>Klaus Fabian</cp:lastModifiedBy>
  <cp:revision>95</cp:revision>
  <cp:lastPrinted>2018-07-23T11:58:00Z</cp:lastPrinted>
  <dcterms:created xsi:type="dcterms:W3CDTF">2018-07-07T12:26:00Z</dcterms:created>
  <dcterms:modified xsi:type="dcterms:W3CDTF">2018-07-23T11:58:00Z</dcterms:modified>
</cp:coreProperties>
</file>