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7551A" w14:textId="77777777" w:rsidR="00CE0999" w:rsidRPr="00D00994" w:rsidRDefault="00CE0999" w:rsidP="0075760F">
      <w:pPr>
        <w:pStyle w:val="Normal"/>
        <w:tabs>
          <w:tab w:val="left" w:pos="4025"/>
          <w:tab w:val="left" w:pos="10206"/>
          <w:tab w:val="left" w:pos="11340"/>
          <w:tab w:val="left" w:pos="12474"/>
          <w:tab w:val="left" w:pos="13608"/>
          <w:tab w:val="left" w:pos="14742"/>
          <w:tab w:val="left" w:pos="15876"/>
        </w:tabs>
        <w:ind w:right="1870"/>
        <w:rPr>
          <w:b/>
          <w:bCs/>
          <w:sz w:val="28"/>
          <w:szCs w:val="28"/>
        </w:rPr>
      </w:pPr>
      <w:r>
        <w:rPr>
          <w:b/>
          <w:bCs/>
          <w:sz w:val="28"/>
          <w:szCs w:val="28"/>
        </w:rPr>
        <w:t>Textes pour appels d’offres</w:t>
      </w:r>
    </w:p>
    <w:p w14:paraId="0129F540"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Toitures et façades PREFA 2017</w:t>
      </w:r>
    </w:p>
    <w:p w14:paraId="41B2547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4AEC496"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rPr>
      </w:pPr>
      <w:r>
        <w:rPr>
          <w:b/>
          <w:bCs/>
        </w:rPr>
        <w:t>LV 01 Toitures PREFA</w:t>
      </w:r>
    </w:p>
    <w:p w14:paraId="0FB87A3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F13952B"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sz w:val="22"/>
          <w:szCs w:val="22"/>
        </w:rPr>
      </w:pPr>
      <w:r>
        <w:rPr>
          <w:b/>
          <w:bCs/>
          <w:sz w:val="22"/>
          <w:szCs w:val="22"/>
        </w:rPr>
        <w:t>Titre 01.07 Joint debout à double agrafe en bande d’aluminium Prefalz</w:t>
      </w:r>
    </w:p>
    <w:p w14:paraId="3D4E672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3D7A5B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0894B8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REMARQUES PRÉLIMINAIRES GÉNÉRALES</w:t>
      </w:r>
    </w:p>
    <w:p w14:paraId="50748EE4" w14:textId="77777777" w:rsidR="004A0473" w:rsidRDefault="00CE0999" w:rsidP="0075760F">
      <w:pPr>
        <w:widowControl w:val="0"/>
        <w:tabs>
          <w:tab w:val="left" w:pos="1440"/>
          <w:tab w:val="left" w:pos="2880"/>
          <w:tab w:val="left" w:pos="4320"/>
          <w:tab w:val="left" w:pos="6480"/>
          <w:tab w:val="left" w:pos="7920"/>
          <w:tab w:val="left" w:pos="9360"/>
        </w:tabs>
        <w:ind w:right="1870"/>
        <w:rPr>
          <w:rFonts w:ascii="Arial" w:hAnsi="Arial" w:cs="Arial"/>
          <w:b/>
          <w:bCs/>
          <w:sz w:val="20"/>
          <w:szCs w:val="20"/>
        </w:rPr>
      </w:pPr>
      <w:r>
        <w:rPr>
          <w:rFonts w:ascii="Arial" w:hAnsi="Arial"/>
          <w:b/>
          <w:bCs/>
          <w:sz w:val="20"/>
          <w:szCs w:val="20"/>
        </w:rPr>
        <w:t>Auteur :</w:t>
      </w:r>
    </w:p>
    <w:p w14:paraId="06D8AFFC" w14:textId="3E2299D6"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lang w:eastAsia="x-none"/>
        </w:rPr>
      </w:pPr>
    </w:p>
    <w:p w14:paraId="22EF83FB" w14:textId="77777777" w:rsidR="004A0473" w:rsidRDefault="00CE0999" w:rsidP="0075760F">
      <w:pPr>
        <w:widowControl w:val="0"/>
        <w:tabs>
          <w:tab w:val="left" w:pos="1440"/>
          <w:tab w:val="left" w:pos="2880"/>
          <w:tab w:val="left" w:pos="4320"/>
          <w:tab w:val="left" w:pos="6480"/>
          <w:tab w:val="left" w:pos="7920"/>
          <w:tab w:val="left" w:pos="9360"/>
        </w:tabs>
        <w:ind w:right="1870"/>
        <w:rPr>
          <w:rFonts w:ascii="Arial" w:hAnsi="Arial" w:cs="Arial"/>
          <w:sz w:val="20"/>
          <w:szCs w:val="20"/>
        </w:rPr>
      </w:pPr>
      <w:r>
        <w:rPr>
          <w:rFonts w:ascii="Arial" w:hAnsi="Arial"/>
          <w:sz w:val="20"/>
          <w:szCs w:val="20"/>
        </w:rPr>
        <w:t>PREFA Aluminiumprodukte GmbH</w:t>
      </w:r>
    </w:p>
    <w:p w14:paraId="65DCC8C7" w14:textId="229AAD1A"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rPr>
      </w:pPr>
      <w:r>
        <w:rPr>
          <w:rFonts w:ascii="Arial" w:hAnsi="Arial"/>
          <w:sz w:val="20"/>
          <w:szCs w:val="20"/>
        </w:rPr>
        <w:t>3182 Marktl/Lilienfeld</w:t>
      </w:r>
    </w:p>
    <w:p w14:paraId="620F7327"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lang w:eastAsia="x-none"/>
        </w:rPr>
      </w:pPr>
    </w:p>
    <w:p w14:paraId="05C1787D"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eastAsia="Times New Roman" w:hAnsi="Arial" w:cs="Arial"/>
          <w:sz w:val="20"/>
          <w:szCs w:val="20"/>
        </w:rPr>
      </w:pPr>
      <w:r>
        <w:rPr>
          <w:rFonts w:ascii="Arial" w:hAnsi="Arial"/>
          <w:sz w:val="20"/>
          <w:szCs w:val="20"/>
        </w:rPr>
        <w:t>Dernière modification : le 13/07/2017</w:t>
      </w:r>
    </w:p>
    <w:p w14:paraId="6A37F44D"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7FA42435"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570DF738"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rPr>
      </w:pPr>
      <w:r>
        <w:rPr>
          <w:rFonts w:ascii="Arial" w:hAnsi="Arial"/>
          <w:color w:val="000000"/>
          <w:sz w:val="20"/>
          <w:szCs w:val="20"/>
        </w:rPr>
        <w:t>Le cahier des charges ci-après a été établi sur la base des documents suivants :</w:t>
      </w:r>
    </w:p>
    <w:p w14:paraId="4DD203D2"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0CE97F63" w14:textId="39338EB3" w:rsidR="00CE0999" w:rsidRDefault="00CE0999" w:rsidP="0075760F">
      <w:pPr>
        <w:widowControl w:val="0"/>
        <w:numPr>
          <w:ilvl w:val="0"/>
          <w:numId w:val="1"/>
        </w:numPr>
        <w:tabs>
          <w:tab w:val="left" w:pos="1440"/>
          <w:tab w:val="left" w:pos="2880"/>
          <w:tab w:val="left" w:pos="4320"/>
          <w:tab w:val="left" w:pos="6480"/>
          <w:tab w:val="left" w:pos="7920"/>
          <w:tab w:val="left" w:pos="9360"/>
        </w:tabs>
        <w:autoSpaceDE w:val="0"/>
        <w:autoSpaceDN w:val="0"/>
        <w:adjustRightInd w:val="0"/>
        <w:ind w:right="1870"/>
        <w:rPr>
          <w:rFonts w:ascii="Arial" w:hAnsi="Arial" w:cs="Arial"/>
          <w:color w:val="000000"/>
        </w:rPr>
      </w:pPr>
      <w:r>
        <w:rPr>
          <w:rFonts w:ascii="Arial" w:hAnsi="Arial"/>
          <w:color w:val="000000"/>
          <w:sz w:val="20"/>
          <w:szCs w:val="20"/>
        </w:rPr>
        <w:t>……………………………………</w:t>
      </w:r>
    </w:p>
    <w:p w14:paraId="74C8A23F"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50054E4F" w14:textId="44C3EF1A" w:rsidR="00CE0999" w:rsidRDefault="00CE0999" w:rsidP="0075760F">
      <w:pPr>
        <w:widowControl w:val="0"/>
        <w:numPr>
          <w:ilvl w:val="0"/>
          <w:numId w:val="1"/>
        </w:numPr>
        <w:tabs>
          <w:tab w:val="left" w:pos="1440"/>
          <w:tab w:val="left" w:pos="2880"/>
          <w:tab w:val="left" w:pos="4320"/>
          <w:tab w:val="left" w:pos="6480"/>
          <w:tab w:val="left" w:pos="7920"/>
          <w:tab w:val="left" w:pos="9360"/>
        </w:tabs>
        <w:autoSpaceDE w:val="0"/>
        <w:autoSpaceDN w:val="0"/>
        <w:adjustRightInd w:val="0"/>
        <w:ind w:right="1870"/>
        <w:rPr>
          <w:rFonts w:ascii="Arial" w:hAnsi="Arial" w:cs="Arial"/>
          <w:color w:val="000000"/>
        </w:rPr>
      </w:pPr>
      <w:r>
        <w:rPr>
          <w:rFonts w:ascii="Arial" w:hAnsi="Arial"/>
          <w:color w:val="000000"/>
          <w:sz w:val="20"/>
          <w:szCs w:val="20"/>
        </w:rPr>
        <w:t>……………………………………</w:t>
      </w:r>
    </w:p>
    <w:p w14:paraId="769A1D9D"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116F05FA" w14:textId="604169AD" w:rsidR="00CE0999" w:rsidRDefault="00CE0999" w:rsidP="0075760F">
      <w:pPr>
        <w:widowControl w:val="0"/>
        <w:numPr>
          <w:ilvl w:val="0"/>
          <w:numId w:val="1"/>
        </w:numPr>
        <w:tabs>
          <w:tab w:val="left" w:pos="1440"/>
          <w:tab w:val="left" w:pos="2880"/>
          <w:tab w:val="left" w:pos="4320"/>
          <w:tab w:val="left" w:pos="6480"/>
          <w:tab w:val="left" w:pos="7920"/>
          <w:tab w:val="left" w:pos="9360"/>
        </w:tabs>
        <w:autoSpaceDE w:val="0"/>
        <w:autoSpaceDN w:val="0"/>
        <w:adjustRightInd w:val="0"/>
        <w:ind w:right="1870"/>
        <w:rPr>
          <w:rFonts w:ascii="Arial" w:hAnsi="Arial" w:cs="Arial"/>
          <w:color w:val="000000"/>
        </w:rPr>
      </w:pPr>
      <w:r>
        <w:rPr>
          <w:rFonts w:ascii="Arial" w:hAnsi="Arial"/>
          <w:color w:val="000000"/>
          <w:sz w:val="20"/>
          <w:szCs w:val="20"/>
        </w:rPr>
        <w:t>……………………………………</w:t>
      </w:r>
    </w:p>
    <w:p w14:paraId="6B44F7B2"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4FDF6A7D" w14:textId="1E423D68" w:rsidR="00CE0999" w:rsidRDefault="00CE0999" w:rsidP="0075760F">
      <w:pPr>
        <w:widowControl w:val="0"/>
        <w:tabs>
          <w:tab w:val="left" w:pos="1440"/>
          <w:tab w:val="left" w:pos="2880"/>
          <w:tab w:val="left" w:pos="4320"/>
          <w:tab w:val="left" w:pos="6480"/>
          <w:tab w:val="left" w:pos="7920"/>
          <w:tab w:val="left" w:pos="9360"/>
        </w:tabs>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49051CF2" w14:textId="341D2F6B" w:rsidR="00CE0999" w:rsidRDefault="00CE0999" w:rsidP="0075760F">
      <w:pPr>
        <w:widowControl w:val="0"/>
        <w:tabs>
          <w:tab w:val="left" w:pos="1440"/>
          <w:tab w:val="left" w:pos="2880"/>
          <w:tab w:val="left" w:pos="4320"/>
          <w:tab w:val="left" w:pos="6480"/>
          <w:tab w:val="left" w:pos="7920"/>
          <w:tab w:val="left" w:pos="9360"/>
        </w:tabs>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64343A17"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eastAsia="Times New Roman" w:hAnsi="Arial" w:cs="Arial"/>
          <w:color w:val="000000"/>
          <w:sz w:val="20"/>
          <w:szCs w:val="20"/>
        </w:rPr>
      </w:pPr>
      <w:r>
        <w:rPr>
          <w:rFonts w:ascii="Arial" w:hAnsi="Arial"/>
          <w:color w:val="000000"/>
          <w:sz w:val="20"/>
          <w:szCs w:val="20"/>
        </w:rPr>
        <w:t>Il est fortement conseillé de visiter le site avant de soumettre toute offre.</w:t>
      </w:r>
    </w:p>
    <w:p w14:paraId="42A57DD0" w14:textId="498AD760" w:rsidR="00CE0999" w:rsidRDefault="00F57D14" w:rsidP="0075760F">
      <w:pPr>
        <w:widowControl w:val="0"/>
        <w:tabs>
          <w:tab w:val="left" w:pos="1440"/>
          <w:tab w:val="left" w:pos="2880"/>
          <w:tab w:val="left" w:pos="4320"/>
          <w:tab w:val="left" w:pos="6480"/>
          <w:tab w:val="left" w:pos="7920"/>
          <w:tab w:val="left" w:pos="9360"/>
        </w:tabs>
        <w:ind w:right="1870"/>
        <w:rPr>
          <w:rFonts w:ascii="Arial" w:hAnsi="Arial" w:cs="Arial"/>
          <w:color w:val="000000"/>
        </w:rPr>
      </w:pPr>
      <w:r>
        <w:rPr>
          <w:rFonts w:ascii="Arial" w:hAnsi="Arial"/>
          <w:color w:val="000000"/>
          <w:sz w:val="20"/>
          <w:szCs w:val="20"/>
        </w:rPr>
        <w:t>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61D87F42"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764DEAD1"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2636561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D91046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E303769"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br w:type="page"/>
      </w:r>
      <w:r>
        <w:rPr>
          <w:b/>
          <w:bCs/>
          <w:sz w:val="20"/>
          <w:szCs w:val="20"/>
        </w:rPr>
        <w:lastRenderedPageBreak/>
        <w:t>01.07.1 Couche de séparation (isolation phonique et résistance accrue à la pénétration d’eau)</w:t>
      </w:r>
    </w:p>
    <w:p w14:paraId="36B09C4F" w14:textId="0F6198D1" w:rsidR="00CE0999" w:rsidRDefault="00CE0999" w:rsidP="0075760F">
      <w:pPr>
        <w:pStyle w:val="Normal"/>
        <w:tabs>
          <w:tab w:val="left" w:pos="11340"/>
          <w:tab w:val="left" w:pos="13608"/>
          <w:tab w:val="left" w:pos="15876"/>
        </w:tabs>
        <w:ind w:right="1870"/>
        <w:rPr>
          <w:sz w:val="22"/>
          <w:szCs w:val="22"/>
        </w:rPr>
      </w:pPr>
      <w:r>
        <w:rPr>
          <w:sz w:val="20"/>
          <w:szCs w:val="20"/>
        </w:rPr>
        <w:t>Livraison et pose d’un lé de sous-couverture en bitume polymère avec joints autoadhésifs ; le lé de sous-couverture assure une fonction d’isolation phonique et, lorsque la situation l’exige, de résistance accrue à la pénétration d’eau. Respecter les instructions du fabricant.</w:t>
      </w:r>
    </w:p>
    <w:p w14:paraId="3069630F" w14:textId="77777777" w:rsidR="00CE0999" w:rsidRDefault="00CE0999" w:rsidP="0075760F">
      <w:pPr>
        <w:pStyle w:val="Normal"/>
        <w:tabs>
          <w:tab w:val="left" w:pos="11340"/>
          <w:tab w:val="left" w:pos="13608"/>
          <w:tab w:val="left" w:pos="15876"/>
        </w:tabs>
        <w:ind w:right="1870"/>
        <w:rPr>
          <w:sz w:val="22"/>
          <w:szCs w:val="22"/>
          <w:lang w:eastAsia="x-none"/>
        </w:rPr>
      </w:pPr>
    </w:p>
    <w:p w14:paraId="13E1B67F" w14:textId="77777777" w:rsidR="004A0473" w:rsidRDefault="00CE0999" w:rsidP="0075760F">
      <w:pPr>
        <w:pStyle w:val="Normal"/>
        <w:tabs>
          <w:tab w:val="left" w:pos="11340"/>
          <w:tab w:val="left" w:pos="13608"/>
          <w:tab w:val="left" w:pos="15876"/>
        </w:tabs>
        <w:ind w:right="1870"/>
        <w:rPr>
          <w:sz w:val="20"/>
          <w:szCs w:val="20"/>
        </w:rPr>
      </w:pPr>
      <w:r>
        <w:rPr>
          <w:sz w:val="20"/>
          <w:szCs w:val="20"/>
        </w:rPr>
        <w:t>Produit proposé : ……</w:t>
      </w:r>
    </w:p>
    <w:p w14:paraId="5522D66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487934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17D9278" w14:textId="1949E340"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502988D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473AAF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2F77A60"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01.07.2 Couche de séparation (au moins 0,9 mm)</w:t>
      </w:r>
    </w:p>
    <w:p w14:paraId="76872007" w14:textId="4471F60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 lé de sous-couverture en bitume polymère avec joints autoadhésifs (couche de séparation). Les propriétés de la couche de séparation seront fonction des exigences posées. Respecter les instructions du fabricant.</w:t>
      </w:r>
    </w:p>
    <w:p w14:paraId="38E4A02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ED16E97"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Produit proposé : ……</w:t>
      </w:r>
    </w:p>
    <w:p w14:paraId="738C7ED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3389B28" w14:textId="0647E934"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6FEB75E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A069558" w14:textId="297108B8"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01.07.3 Couverture de toit réalisée à partir de bandes d’aluminium coloré Prefalz</w:t>
      </w:r>
    </w:p>
    <w:p w14:paraId="7C863FDA" w14:textId="3716A00B" w:rsidR="00CE0999" w:rsidRDefault="00CE0999" w:rsidP="0075760F">
      <w:pPr>
        <w:pStyle w:val="Normal"/>
        <w:ind w:right="1870"/>
        <w:rPr>
          <w:rFonts w:eastAsia="Times New Roman"/>
          <w:sz w:val="20"/>
          <w:szCs w:val="20"/>
        </w:rPr>
      </w:pPr>
      <w:r>
        <w:rPr>
          <w:sz w:val="20"/>
          <w:szCs w:val="20"/>
        </w:rPr>
        <w:t>Livraison et pose d’une couverture de toit réalisée à partir de bandes d’aluminium coloré Prefalz ; comprend le matériel de fixation PREFA (pattes fixes ou pattes coulissantes, clous annelés inox) ; pose réalisée sur voligeage intégral (épaisseur minimum : 24 mm). Le type et le nombre des fixations sont fonction des exigences spécifiques posées par chaque bâtiment et sont définis sur la base des calculs statiques effectués.</w:t>
      </w:r>
    </w:p>
    <w:p w14:paraId="454C8F26" w14:textId="77777777" w:rsidR="00CE0999" w:rsidRDefault="00CE0999" w:rsidP="0075760F">
      <w:pPr>
        <w:pStyle w:val="Normal"/>
        <w:ind w:right="1870"/>
        <w:rPr>
          <w:sz w:val="22"/>
          <w:szCs w:val="22"/>
        </w:rPr>
      </w:pPr>
      <w:r>
        <w:rPr>
          <w:sz w:val="20"/>
          <w:szCs w:val="20"/>
        </w:rPr>
        <w:t>Les bords ne seront pas repliés vers le haut à 90° de chaque côté ; l’un des bords sera légèrement incliné de manière à ménager un espace de dilatation au niveau de la surface d’appui des bacs. Respecter les directives de pose PREFA.</w:t>
      </w:r>
    </w:p>
    <w:p w14:paraId="251C6F83" w14:textId="77777777" w:rsidR="00CE0999" w:rsidRDefault="00CE0999" w:rsidP="0075760F">
      <w:pPr>
        <w:pStyle w:val="Normal"/>
        <w:ind w:right="1870"/>
        <w:rPr>
          <w:sz w:val="22"/>
          <w:szCs w:val="22"/>
          <w:lang w:eastAsia="x-none"/>
        </w:rPr>
      </w:pPr>
    </w:p>
    <w:p w14:paraId="4EEEABBD" w14:textId="77777777" w:rsidR="00CE0999" w:rsidRDefault="00CE0999" w:rsidP="0075760F">
      <w:pPr>
        <w:pStyle w:val="Normal"/>
        <w:ind w:right="1870"/>
        <w:rPr>
          <w:sz w:val="20"/>
          <w:szCs w:val="20"/>
        </w:rPr>
      </w:pPr>
      <w:r>
        <w:rPr>
          <w:sz w:val="20"/>
          <w:szCs w:val="20"/>
        </w:rPr>
        <w:t>Joint debout :</w:t>
      </w:r>
    </w:p>
    <w:p w14:paraId="353F3F83" w14:textId="3285158A" w:rsidR="00CE0999" w:rsidRDefault="00CE0999" w:rsidP="0075760F">
      <w:pPr>
        <w:pStyle w:val="Normal"/>
        <w:ind w:right="1870"/>
        <w:rPr>
          <w:sz w:val="22"/>
          <w:szCs w:val="22"/>
        </w:rPr>
      </w:pPr>
      <w:r>
        <w:rPr>
          <w:sz w:val="20"/>
          <w:szCs w:val="20"/>
        </w:rPr>
        <w:t>Pente de toit minimum : &gt; 45°</w:t>
      </w:r>
    </w:p>
    <w:p w14:paraId="567453DD" w14:textId="77777777" w:rsidR="00CE0999" w:rsidRDefault="00CE0999" w:rsidP="0075760F">
      <w:pPr>
        <w:pStyle w:val="Normal"/>
        <w:ind w:right="1870"/>
        <w:rPr>
          <w:sz w:val="22"/>
          <w:szCs w:val="22"/>
          <w:lang w:eastAsia="x-none"/>
        </w:rPr>
      </w:pPr>
    </w:p>
    <w:p w14:paraId="47C225DE" w14:textId="77777777" w:rsidR="00CE0999" w:rsidRDefault="00CE0999" w:rsidP="0075760F">
      <w:pPr>
        <w:pStyle w:val="Normal"/>
        <w:ind w:right="1870"/>
        <w:rPr>
          <w:sz w:val="20"/>
          <w:szCs w:val="20"/>
        </w:rPr>
      </w:pPr>
      <w:r>
        <w:rPr>
          <w:sz w:val="20"/>
          <w:szCs w:val="20"/>
        </w:rPr>
        <w:t>Joint angulaire :</w:t>
      </w:r>
    </w:p>
    <w:p w14:paraId="1BDAD729" w14:textId="54DA6535" w:rsidR="00CE0999" w:rsidRDefault="000B6C83" w:rsidP="0075760F">
      <w:pPr>
        <w:pStyle w:val="Normal"/>
        <w:ind w:right="1870"/>
        <w:rPr>
          <w:sz w:val="22"/>
          <w:szCs w:val="22"/>
        </w:rPr>
      </w:pPr>
      <w:r>
        <w:rPr>
          <w:sz w:val="20"/>
          <w:szCs w:val="20"/>
        </w:rPr>
        <w:t>Pente de toit minimum : 25° (région soumise à des conditions météorologiques normales) ; 35° (régions à fort enneigement)</w:t>
      </w:r>
    </w:p>
    <w:p w14:paraId="357D098D" w14:textId="77777777" w:rsidR="00CE0999" w:rsidRDefault="00CE0999" w:rsidP="0075760F">
      <w:pPr>
        <w:pStyle w:val="Normal"/>
        <w:ind w:right="1870"/>
        <w:rPr>
          <w:sz w:val="22"/>
          <w:szCs w:val="22"/>
          <w:lang w:eastAsia="x-none"/>
        </w:rPr>
      </w:pPr>
    </w:p>
    <w:p w14:paraId="18E42EE8" w14:textId="77777777" w:rsidR="00CE0999" w:rsidRDefault="00CE0999" w:rsidP="0075760F">
      <w:pPr>
        <w:pStyle w:val="Normal"/>
        <w:ind w:right="1870"/>
        <w:rPr>
          <w:sz w:val="20"/>
          <w:szCs w:val="20"/>
        </w:rPr>
      </w:pPr>
      <w:r>
        <w:rPr>
          <w:sz w:val="20"/>
          <w:szCs w:val="20"/>
        </w:rPr>
        <w:t>Joint debout à double agrafe :</w:t>
      </w:r>
    </w:p>
    <w:p w14:paraId="04E8351B" w14:textId="77777777" w:rsidR="00CE0999" w:rsidRDefault="00CE0999" w:rsidP="0075760F">
      <w:pPr>
        <w:pStyle w:val="Normal"/>
        <w:ind w:right="1870"/>
        <w:rPr>
          <w:rFonts w:eastAsia="Times New Roman"/>
          <w:sz w:val="20"/>
          <w:szCs w:val="20"/>
        </w:rPr>
      </w:pPr>
      <w:r>
        <w:rPr>
          <w:sz w:val="20"/>
          <w:szCs w:val="20"/>
        </w:rPr>
        <w:t>Pente de toit minimum : 3°</w:t>
      </w:r>
    </w:p>
    <w:p w14:paraId="5B49F079" w14:textId="0849080E" w:rsidR="00CE0999" w:rsidRDefault="006F4832" w:rsidP="0075760F">
      <w:pPr>
        <w:pStyle w:val="Normal"/>
        <w:ind w:right="1870"/>
        <w:rPr>
          <w:sz w:val="22"/>
          <w:szCs w:val="22"/>
        </w:rPr>
      </w:pPr>
      <w:r>
        <w:rPr>
          <w:sz w:val="20"/>
          <w:szCs w:val="20"/>
        </w:rPr>
        <w:t>&lt; 7° : avec bande d’étanchéité ou gel d’étanchéité pour agrafe</w:t>
      </w:r>
    </w:p>
    <w:p w14:paraId="3E9B3D7B" w14:textId="77777777" w:rsidR="00CE0999" w:rsidRDefault="00CE0999" w:rsidP="0075760F">
      <w:pPr>
        <w:pStyle w:val="Normal"/>
        <w:ind w:right="1870"/>
        <w:rPr>
          <w:sz w:val="22"/>
          <w:szCs w:val="22"/>
          <w:lang w:eastAsia="x-none"/>
        </w:rPr>
      </w:pPr>
    </w:p>
    <w:p w14:paraId="64926442" w14:textId="77777777" w:rsidR="00CE0999" w:rsidRDefault="00CE0999" w:rsidP="0075760F">
      <w:pPr>
        <w:pStyle w:val="Normal"/>
        <w:ind w:right="1870"/>
        <w:rPr>
          <w:sz w:val="22"/>
          <w:szCs w:val="22"/>
        </w:rPr>
      </w:pPr>
      <w:r>
        <w:rPr>
          <w:sz w:val="20"/>
          <w:szCs w:val="20"/>
        </w:rPr>
        <w:t>Couverture standard : joint debout à double agrafe</w:t>
      </w:r>
    </w:p>
    <w:p w14:paraId="5F1D2A3E" w14:textId="77777777" w:rsidR="00CE0999" w:rsidRDefault="00CE0999" w:rsidP="0075760F">
      <w:pPr>
        <w:pStyle w:val="Normal"/>
        <w:ind w:right="1870"/>
        <w:rPr>
          <w:sz w:val="22"/>
          <w:szCs w:val="22"/>
          <w:lang w:eastAsia="x-none"/>
        </w:rPr>
      </w:pPr>
    </w:p>
    <w:p w14:paraId="7CEA666F" w14:textId="258E21DB" w:rsidR="00CE0999" w:rsidRDefault="00CE0999" w:rsidP="0075760F">
      <w:pPr>
        <w:pStyle w:val="Normal"/>
        <w:ind w:right="1870"/>
        <w:rPr>
          <w:sz w:val="20"/>
          <w:szCs w:val="20"/>
        </w:rPr>
      </w:pPr>
      <w:r>
        <w:rPr>
          <w:sz w:val="20"/>
          <w:szCs w:val="20"/>
        </w:rPr>
        <w:t>Largeur de bande : 650 mm / 500 mm</w:t>
      </w:r>
    </w:p>
    <w:p w14:paraId="4768AF54" w14:textId="493E62EE" w:rsidR="00CE0999" w:rsidRDefault="00C57495" w:rsidP="0075760F">
      <w:pPr>
        <w:pStyle w:val="Normal"/>
        <w:ind w:right="1870"/>
        <w:rPr>
          <w:rFonts w:eastAsia="Times New Roman"/>
          <w:sz w:val="20"/>
          <w:szCs w:val="20"/>
        </w:rPr>
      </w:pPr>
      <w:r>
        <w:rPr>
          <w:sz w:val="20"/>
          <w:szCs w:val="20"/>
        </w:rPr>
        <w:t>Entraxe : 580 mm / 430 mm</w:t>
      </w:r>
    </w:p>
    <w:p w14:paraId="161AFEDD" w14:textId="5C21331A" w:rsidR="00CE0999" w:rsidRDefault="00CE0999" w:rsidP="0075760F">
      <w:pPr>
        <w:pStyle w:val="Normal"/>
        <w:ind w:right="1870"/>
        <w:rPr>
          <w:sz w:val="22"/>
          <w:szCs w:val="22"/>
        </w:rPr>
      </w:pPr>
      <w:r>
        <w:rPr>
          <w:sz w:val="20"/>
          <w:szCs w:val="20"/>
        </w:rPr>
        <w:t>Largeur des bacs : 570 mm / 420 mm</w:t>
      </w:r>
    </w:p>
    <w:p w14:paraId="24B0137E" w14:textId="77777777" w:rsidR="00CE0999" w:rsidRDefault="00CE0999" w:rsidP="0075760F">
      <w:pPr>
        <w:pStyle w:val="Normal"/>
        <w:ind w:right="1870"/>
        <w:rPr>
          <w:sz w:val="22"/>
          <w:szCs w:val="22"/>
          <w:lang w:eastAsia="x-none"/>
        </w:rPr>
      </w:pPr>
    </w:p>
    <w:p w14:paraId="11E88CE3" w14:textId="0619FD6A" w:rsidR="00CE0999" w:rsidRDefault="00CE0999" w:rsidP="0075760F">
      <w:pPr>
        <w:pStyle w:val="Normal"/>
        <w:ind w:right="1870"/>
        <w:rPr>
          <w:sz w:val="22"/>
          <w:szCs w:val="22"/>
        </w:rPr>
      </w:pPr>
      <w:r>
        <w:rPr>
          <w:sz w:val="20"/>
          <w:szCs w:val="20"/>
        </w:rPr>
        <w:t>Largeur de bande : …………… mm</w:t>
      </w:r>
    </w:p>
    <w:p w14:paraId="21719837" w14:textId="77777777" w:rsidR="00CE0999" w:rsidRDefault="00CE0999" w:rsidP="0075760F">
      <w:pPr>
        <w:pStyle w:val="Normal"/>
        <w:ind w:right="1870"/>
        <w:rPr>
          <w:sz w:val="22"/>
          <w:szCs w:val="22"/>
          <w:lang w:eastAsia="x-none"/>
        </w:rPr>
      </w:pPr>
    </w:p>
    <w:p w14:paraId="1DE92EDA" w14:textId="1CE9B82D" w:rsidR="00CE0999" w:rsidRDefault="00CE0999" w:rsidP="0075760F">
      <w:pPr>
        <w:pStyle w:val="Normal"/>
        <w:ind w:right="1870"/>
        <w:rPr>
          <w:sz w:val="20"/>
          <w:szCs w:val="20"/>
        </w:rPr>
      </w:pPr>
      <w:r>
        <w:rPr>
          <w:sz w:val="20"/>
          <w:szCs w:val="20"/>
        </w:rPr>
        <w:t>Épaisseur du matériau : 0,70 mm</w:t>
      </w:r>
    </w:p>
    <w:p w14:paraId="15B735DE" w14:textId="77777777" w:rsidR="00CE0999" w:rsidRDefault="00CE0999" w:rsidP="0075760F">
      <w:pPr>
        <w:pStyle w:val="Normal"/>
        <w:ind w:right="1870"/>
        <w:rPr>
          <w:sz w:val="20"/>
          <w:szCs w:val="20"/>
        </w:rPr>
      </w:pPr>
      <w:r>
        <w:rPr>
          <w:sz w:val="20"/>
          <w:szCs w:val="20"/>
        </w:rPr>
        <w:t>Matériau : aluminium</w:t>
      </w:r>
    </w:p>
    <w:p w14:paraId="309A42DE" w14:textId="58F9A8BF" w:rsidR="00CE0999" w:rsidRDefault="00CE0999" w:rsidP="0075760F">
      <w:pPr>
        <w:pStyle w:val="Normal"/>
        <w:ind w:right="1870"/>
        <w:rPr>
          <w:rFonts w:eastAsia="Times New Roman"/>
          <w:sz w:val="20"/>
          <w:szCs w:val="20"/>
        </w:rPr>
      </w:pPr>
      <w:r>
        <w:rPr>
          <w:sz w:val="20"/>
          <w:szCs w:val="20"/>
        </w:rPr>
        <w:t>Alliage : EN AW-3005, qualité de pliage H41</w:t>
      </w:r>
    </w:p>
    <w:p w14:paraId="2904017C" w14:textId="0EAD63DB" w:rsidR="00CE0999" w:rsidRDefault="00CE0999" w:rsidP="0075760F">
      <w:pPr>
        <w:pStyle w:val="Normal"/>
        <w:ind w:right="1870"/>
        <w:rPr>
          <w:rFonts w:eastAsia="Times New Roman"/>
          <w:sz w:val="20"/>
          <w:szCs w:val="20"/>
        </w:rPr>
      </w:pPr>
      <w:r>
        <w:rPr>
          <w:sz w:val="20"/>
          <w:szCs w:val="20"/>
        </w:rPr>
        <w:t>Surface : revêtement à chaud bicouche P.10 ou PP99, laque de protection sur la face arrière, stucco ou lisse</w:t>
      </w:r>
    </w:p>
    <w:p w14:paraId="19B9CCCA" w14:textId="0EA2B2A0" w:rsidR="00CE0999" w:rsidRDefault="00CE0999" w:rsidP="0075760F">
      <w:pPr>
        <w:widowControl w:val="0"/>
        <w:ind w:right="1870"/>
        <w:rPr>
          <w:rFonts w:ascii="Arial" w:eastAsia="Times New Roman" w:hAnsi="Arial" w:cs="Arial"/>
          <w:sz w:val="20"/>
          <w:szCs w:val="20"/>
        </w:rPr>
      </w:pPr>
      <w:r>
        <w:rPr>
          <w:rFonts w:ascii="Arial" w:hAnsi="Arial"/>
          <w:sz w:val="20"/>
          <w:szCs w:val="20"/>
        </w:rPr>
        <w:t>Couleur : ……</w:t>
      </w:r>
    </w:p>
    <w:p w14:paraId="2931215B"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lastRenderedPageBreak/>
        <w:t>(couleur standard ; cf. nuancier PREFA)</w:t>
      </w:r>
    </w:p>
    <w:p w14:paraId="5CD96E2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55C45177" w14:textId="57938C24"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1C62F28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AFF1FA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D08488B"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01.07.4 Bande de départ réalisée à partir de bandes complémentaires</w:t>
      </w:r>
    </w:p>
    <w:p w14:paraId="63314BC2" w14:textId="486D1D4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départ réalisées à partir de bandes complémentaires ; matériel de fixation compris.</w:t>
      </w:r>
    </w:p>
    <w:p w14:paraId="7534403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0909003" w14:textId="60FC400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au moins 1,0 mm</w:t>
      </w:r>
    </w:p>
    <w:p w14:paraId="74F1C40A" w14:textId="360C984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jusqu’à 333 mm</w:t>
      </w:r>
    </w:p>
    <w:p w14:paraId="79FAA4B2" w14:textId="5645A3D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jusqu’à 5 pc.</w:t>
      </w:r>
    </w:p>
    <w:p w14:paraId="1F8D449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Couleur : identique au produit principal</w:t>
      </w:r>
    </w:p>
    <w:p w14:paraId="10DEF776"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Qualité du matériau : identique au produit principal</w:t>
      </w:r>
    </w:p>
    <w:p w14:paraId="54C81A5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0C503F7" w14:textId="5AEB5A18"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1BA78FD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645035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96104C8" w14:textId="6292A478"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01.07.5 Supplément appliqué au produit principal pour bacs de 330 mm</w:t>
      </w:r>
    </w:p>
    <w:p w14:paraId="28AF87EE" w14:textId="209E0636" w:rsidR="00CE0999" w:rsidRDefault="00CE0999" w:rsidP="0075760F">
      <w:pPr>
        <w:pStyle w:val="Normal"/>
        <w:tabs>
          <w:tab w:val="left" w:pos="4536"/>
          <w:tab w:val="left" w:pos="9072"/>
          <w:tab w:val="left" w:pos="13608"/>
        </w:tabs>
        <w:ind w:right="1870"/>
        <w:rPr>
          <w:sz w:val="22"/>
          <w:szCs w:val="22"/>
        </w:rPr>
      </w:pPr>
      <w:r>
        <w:rPr>
          <w:sz w:val="20"/>
          <w:szCs w:val="20"/>
        </w:rPr>
        <w:t>Supplément pour les bacs Prefalz de moindre largeur employés pour la mise en œuvre des rives.</w:t>
      </w:r>
    </w:p>
    <w:p w14:paraId="70FE6EEE" w14:textId="77777777" w:rsidR="00CE0999" w:rsidRDefault="00CE0999" w:rsidP="0075760F">
      <w:pPr>
        <w:pStyle w:val="Normal"/>
        <w:tabs>
          <w:tab w:val="left" w:pos="4536"/>
          <w:tab w:val="left" w:pos="9072"/>
          <w:tab w:val="left" w:pos="13608"/>
        </w:tabs>
        <w:ind w:right="1870"/>
        <w:rPr>
          <w:sz w:val="22"/>
          <w:szCs w:val="22"/>
          <w:lang w:eastAsia="x-none"/>
        </w:rPr>
      </w:pPr>
    </w:p>
    <w:p w14:paraId="6BF28683" w14:textId="6E9FA51B" w:rsidR="00CE0999" w:rsidRDefault="00CE0999" w:rsidP="0075760F">
      <w:pPr>
        <w:pStyle w:val="Normal"/>
        <w:tabs>
          <w:tab w:val="left" w:pos="4536"/>
          <w:tab w:val="left" w:pos="9072"/>
          <w:tab w:val="left" w:pos="13608"/>
        </w:tabs>
        <w:ind w:right="1870"/>
        <w:rPr>
          <w:sz w:val="20"/>
          <w:szCs w:val="20"/>
        </w:rPr>
      </w:pPr>
      <w:r>
        <w:rPr>
          <w:sz w:val="20"/>
          <w:szCs w:val="20"/>
        </w:rPr>
        <w:t>Largeur de bande : 330 mm</w:t>
      </w:r>
    </w:p>
    <w:p w14:paraId="521F38B7" w14:textId="490E0669"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Entraxe : 260 mm</w:t>
      </w:r>
    </w:p>
    <w:p w14:paraId="2EAF5FAA"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Largeur des bacs : 250 mm</w:t>
      </w:r>
    </w:p>
    <w:p w14:paraId="18F5B8B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25E74E01" w14:textId="4B87178D"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25BB90D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7B0F5A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0D50646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01.07.6 Supplément appliqué au produit principal pour pattes longues coulissantes</w:t>
      </w:r>
    </w:p>
    <w:p w14:paraId="6E56CF8E" w14:textId="6C2F7275"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Supplément pour la mise en œuvre utilisant des pattes longues coulissantes PREFA ; longueur des bacs : jusqu’à 15 m ; largeur de bande max. : 500 mm. Lors de l’utilisation de pattes longues coulissantes, il faut toujours en recouvrir la totalité de la surface de la toiture.</w:t>
      </w:r>
    </w:p>
    <w:p w14:paraId="13657AA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BACB62B" w14:textId="3436CFAA"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371EA96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E55239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EDF7513"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01.07.7 Supplément appliqué au produit principal pour bacs arrondis</w:t>
      </w:r>
    </w:p>
    <w:p w14:paraId="3DCFF3A0" w14:textId="13423B0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Supplément pour la fabrication et la mise en œuvre de bacs arrondis.</w:t>
      </w:r>
    </w:p>
    <w:p w14:paraId="6DC20EE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8C27C39" w14:textId="03B90B41" w:rsidR="00CE0999" w:rsidRDefault="00C37B8B"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Rayon : concave, … mm</w:t>
      </w:r>
    </w:p>
    <w:p w14:paraId="19AEE8A6" w14:textId="03AB47F3" w:rsidR="004A0473" w:rsidRDefault="00C37B8B"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Rayon : convexe, … mm</w:t>
      </w:r>
    </w:p>
    <w:p w14:paraId="661FDC2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A24AAD6" w14:textId="3509D93D"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6F4DB8A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3B2D65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0FEE299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01.07.8 Supplément appliqué au produit principal pour bacs trapézoïdaux</w:t>
      </w:r>
    </w:p>
    <w:p w14:paraId="046A5FF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Supplément pour la fabrication et la mise en œuvre de bacs trapézoïdaux.</w:t>
      </w:r>
    </w:p>
    <w:p w14:paraId="7FEFFC2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2592BAF5" w14:textId="1020830A"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34A9C00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F37E42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00536560"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01.07.9 Supplément appliqué au produit principal pour joints agrafés</w:t>
      </w:r>
    </w:p>
    <w:p w14:paraId="25CDCA0E"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Supplément pour la réalisation de joints agrafés sur les avant-toits.</w:t>
      </w:r>
    </w:p>
    <w:p w14:paraId="62CD370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6D0C7D15" w14:textId="1D6F10D0"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75C4356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342471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DC0110A"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br w:type="page"/>
      </w:r>
      <w:r>
        <w:rPr>
          <w:b/>
          <w:bCs/>
          <w:sz w:val="20"/>
          <w:szCs w:val="20"/>
        </w:rPr>
        <w:lastRenderedPageBreak/>
        <w:t>01.07.10 Supplément appliqué au produit principal pour l’étanchéification des joints</w:t>
      </w:r>
    </w:p>
    <w:p w14:paraId="06BD8EF4"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Supplément pour l’application d’un gel d’étanchéité pour agrafe ou la mise en place d’une bande d’étanchéité sur les joints situés sur des portions de toiture dont la pente est supérieure à 7°.</w:t>
      </w:r>
    </w:p>
    <w:p w14:paraId="3121DC2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2639136" w14:textId="74EC249B"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7B071F1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B401F7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1702A27"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01.07.11 Supplément appliqué au produit principal pour agrafe grisonne</w:t>
      </w:r>
    </w:p>
    <w:p w14:paraId="54C94E9B" w14:textId="460463A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Supplément pour la réalisation d’une agrafe grisonne au niveau d’élément de construction verticaux ; rabat compris.</w:t>
      </w:r>
    </w:p>
    <w:p w14:paraId="49D969D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4BE85FF" w14:textId="4F1D3148"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Hauteur du retour : 150 mm</w:t>
      </w:r>
    </w:p>
    <w:p w14:paraId="2E1FF959" w14:textId="667FFF6A" w:rsidR="004A0473" w:rsidRDefault="00CE0999" w:rsidP="004067E2">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Entraxe : 580 mm (1,72 pc./m) ; 430 mm (2,33 pc./m)</w:t>
      </w:r>
    </w:p>
    <w:p w14:paraId="1BAD90CB" w14:textId="77777777" w:rsidR="004A0473" w:rsidRPr="00765B5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FD21690" w14:textId="66F5F952" w:rsidR="00CE0999" w:rsidRPr="00D00994"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6C987DD5" w14:textId="77777777" w:rsidR="004A0473" w:rsidRPr="00765B5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1203629" w14:textId="77777777" w:rsidR="004A0473" w:rsidRPr="00765B5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72AE71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01.07.12 Supplément appliqué au produit principal — pour coupes obliques</w:t>
      </w:r>
    </w:p>
    <w:p w14:paraId="30758AA0" w14:textId="3BCA9E62" w:rsidR="00A7450A" w:rsidRDefault="00A7450A"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Supplément pour la réalisation de coupes obliques pour les éléments de toiture obliques (rives, avant-toits obliques).</w:t>
      </w:r>
    </w:p>
    <w:p w14:paraId="73F1821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2564A156" w14:textId="66FDCF2F"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13180FB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D206A7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FF66DC9"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01.07.13 Supplément appliqué à la bande de départ pour avant-toit arrondi</w:t>
      </w:r>
    </w:p>
    <w:p w14:paraId="635244D1"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Supplément pour la mise en œuvre d’un avant-toit arrondi (composé de plusieurs segments).</w:t>
      </w:r>
    </w:p>
    <w:p w14:paraId="6626FEA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8A3321B" w14:textId="1A13875E"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01037E9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E1C5CB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0F73814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01.07.14 Solin de finition réalisé à partir de bandes complémentaires Prefalz</w:t>
      </w:r>
    </w:p>
    <w:p w14:paraId="7FBB60D8" w14:textId="211DCDF9" w:rsidR="00CE0999" w:rsidRDefault="00CE0999" w:rsidP="0075760F">
      <w:pPr>
        <w:pStyle w:val="Normal"/>
        <w:tabs>
          <w:tab w:val="left" w:pos="4536"/>
          <w:tab w:val="left" w:pos="9072"/>
          <w:tab w:val="left" w:pos="13608"/>
        </w:tabs>
        <w:ind w:right="1870"/>
        <w:rPr>
          <w:sz w:val="22"/>
          <w:szCs w:val="22"/>
        </w:rPr>
      </w:pPr>
      <w:r>
        <w:rPr>
          <w:sz w:val="20"/>
          <w:szCs w:val="20"/>
        </w:rPr>
        <w:t>Livraison et pose de solins de finition réalisés à partir de bandes complémentaires Prefalz ; matériel de fixation compris ; pliure trapézoïdale alignée sur la pente de la gouttière.</w:t>
      </w:r>
    </w:p>
    <w:p w14:paraId="527F2B6A" w14:textId="77777777" w:rsidR="00CE0999" w:rsidRDefault="00CE0999" w:rsidP="0075760F">
      <w:pPr>
        <w:pStyle w:val="Normal"/>
        <w:tabs>
          <w:tab w:val="left" w:pos="4536"/>
          <w:tab w:val="left" w:pos="9072"/>
          <w:tab w:val="left" w:pos="13608"/>
        </w:tabs>
        <w:ind w:right="1870"/>
        <w:rPr>
          <w:sz w:val="22"/>
          <w:szCs w:val="22"/>
          <w:lang w:eastAsia="x-none"/>
        </w:rPr>
      </w:pPr>
    </w:p>
    <w:p w14:paraId="73B16D2D" w14:textId="00066371"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78B65839" w14:textId="39C13ECE" w:rsidR="00CE0999" w:rsidRDefault="00CE0999" w:rsidP="0075760F">
      <w:pPr>
        <w:pStyle w:val="Normal"/>
        <w:tabs>
          <w:tab w:val="left" w:pos="4536"/>
          <w:tab w:val="left" w:pos="9072"/>
          <w:tab w:val="left" w:pos="13608"/>
        </w:tabs>
        <w:ind w:right="1870"/>
        <w:rPr>
          <w:sz w:val="20"/>
          <w:szCs w:val="20"/>
        </w:rPr>
      </w:pPr>
      <w:r>
        <w:rPr>
          <w:sz w:val="20"/>
          <w:szCs w:val="20"/>
        </w:rPr>
        <w:t>Pliure : … pc.</w:t>
      </w:r>
    </w:p>
    <w:p w14:paraId="06636CBC" w14:textId="77777777" w:rsidR="00CE0999" w:rsidRDefault="00CE0999" w:rsidP="0075760F">
      <w:pPr>
        <w:pStyle w:val="Normal"/>
        <w:tabs>
          <w:tab w:val="left" w:pos="4536"/>
          <w:tab w:val="left" w:pos="9072"/>
          <w:tab w:val="left" w:pos="13608"/>
        </w:tabs>
        <w:ind w:right="1870"/>
        <w:rPr>
          <w:sz w:val="20"/>
          <w:szCs w:val="20"/>
        </w:rPr>
      </w:pPr>
      <w:r>
        <w:rPr>
          <w:sz w:val="20"/>
          <w:szCs w:val="20"/>
        </w:rPr>
        <w:t>Épaisseur du matériau : identique au produit principal</w:t>
      </w:r>
    </w:p>
    <w:p w14:paraId="2F4F1CAC"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18031530"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4950900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643138E6" w14:textId="09F81856"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32B2423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BA34AD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02045BA1"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br w:type="page"/>
      </w:r>
      <w:r>
        <w:rPr>
          <w:b/>
          <w:bCs/>
          <w:sz w:val="20"/>
          <w:szCs w:val="20"/>
        </w:rPr>
        <w:lastRenderedPageBreak/>
        <w:t>01.07.15 Grille anti-insectes pour entrée et sortie d’air</w:t>
      </w:r>
    </w:p>
    <w:p w14:paraId="346B1186" w14:textId="427AF48B" w:rsidR="00CE0999" w:rsidRDefault="00CE0999" w:rsidP="0075760F">
      <w:pPr>
        <w:pStyle w:val="Normal"/>
        <w:tabs>
          <w:tab w:val="left" w:pos="4536"/>
          <w:tab w:val="left" w:pos="9072"/>
          <w:tab w:val="left" w:pos="13608"/>
        </w:tabs>
        <w:ind w:right="1870"/>
        <w:rPr>
          <w:sz w:val="22"/>
          <w:szCs w:val="22"/>
        </w:rPr>
      </w:pPr>
      <w:r>
        <w:rPr>
          <w:sz w:val="20"/>
          <w:szCs w:val="20"/>
        </w:rPr>
        <w:t>Livraison et pose d’une grille anti-insectes avec perforations circulaires ; pour entrée et sortie d’air ; protection de la lame d’air contre les insectes et les oiseaux. Matériel de fixation compris.</w:t>
      </w:r>
    </w:p>
    <w:p w14:paraId="0A8C0A10" w14:textId="77777777" w:rsidR="00CE0999" w:rsidRDefault="00CE0999" w:rsidP="0075760F">
      <w:pPr>
        <w:pStyle w:val="Normal"/>
        <w:tabs>
          <w:tab w:val="left" w:pos="4536"/>
          <w:tab w:val="left" w:pos="9072"/>
          <w:tab w:val="left" w:pos="13608"/>
        </w:tabs>
        <w:ind w:right="1870"/>
        <w:rPr>
          <w:sz w:val="22"/>
          <w:szCs w:val="22"/>
          <w:lang w:eastAsia="x-none"/>
        </w:rPr>
      </w:pPr>
    </w:p>
    <w:p w14:paraId="396ACD1F" w14:textId="720BF8BC" w:rsidR="00CE0999" w:rsidRDefault="00CE0999" w:rsidP="0075760F">
      <w:pPr>
        <w:pStyle w:val="Normal"/>
        <w:tabs>
          <w:tab w:val="left" w:pos="4536"/>
          <w:tab w:val="left" w:pos="9072"/>
          <w:tab w:val="left" w:pos="13608"/>
        </w:tabs>
        <w:ind w:right="1870"/>
        <w:rPr>
          <w:sz w:val="20"/>
          <w:szCs w:val="20"/>
        </w:rPr>
      </w:pPr>
      <w:r>
        <w:rPr>
          <w:sz w:val="20"/>
          <w:szCs w:val="20"/>
        </w:rPr>
        <w:t>Dimension de coupe : 125 mm</w:t>
      </w:r>
    </w:p>
    <w:p w14:paraId="514BF8C6" w14:textId="77777777" w:rsidR="00CE0999" w:rsidRDefault="00CE0999" w:rsidP="0075760F">
      <w:pPr>
        <w:pStyle w:val="Normal"/>
        <w:tabs>
          <w:tab w:val="left" w:pos="4536"/>
          <w:tab w:val="left" w:pos="9072"/>
          <w:tab w:val="left" w:pos="13608"/>
        </w:tabs>
        <w:ind w:right="1870"/>
        <w:rPr>
          <w:sz w:val="20"/>
          <w:szCs w:val="20"/>
        </w:rPr>
      </w:pPr>
      <w:r>
        <w:rPr>
          <w:sz w:val="20"/>
          <w:szCs w:val="20"/>
        </w:rPr>
        <w:t>Pliure : selon les besoins</w:t>
      </w:r>
    </w:p>
    <w:p w14:paraId="6A93ADF3" w14:textId="7C07CFB4"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Longueur : 2000 mm</w:t>
      </w:r>
    </w:p>
    <w:p w14:paraId="3E85444E" w14:textId="7CED07E6"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0,70 mm</w:t>
      </w:r>
    </w:p>
    <w:p w14:paraId="199A35EF"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Matériau : aluminium</w:t>
      </w:r>
    </w:p>
    <w:p w14:paraId="4C13E43F" w14:textId="5312CCE9"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 xml:space="preserve">Perforations circulaires : </w:t>
      </w:r>
      <w:r>
        <w:rPr>
          <w:rFonts w:ascii="Menlo Regular" w:hAnsi="Menlo Regular"/>
          <w:sz w:val="20"/>
          <w:szCs w:val="20"/>
        </w:rPr>
        <w:t>⌀</w:t>
      </w:r>
      <w:r>
        <w:rPr>
          <w:sz w:val="20"/>
          <w:szCs w:val="20"/>
        </w:rPr>
        <w:t xml:space="preserve"> 5 mm</w:t>
      </w:r>
    </w:p>
    <w:p w14:paraId="7C3BEEE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2247FAD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5148A1D9" w14:textId="25ADB558"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3E6EF76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216EAF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264340C"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01.07.16 Noue de sécurité (réalisée en usine)</w:t>
      </w:r>
    </w:p>
    <w:p w14:paraId="453C18F7" w14:textId="0440BB7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noues de sécurité mises en œuvre avec un joint supplémentaire ; avec matériel de fixation et ajustage de tous les raccordements à la couverture PREFA (sur les deux côtés). Les éléments (max. 3000 mm) doivent être assemblés de manière à permettre une dilatation suffisante.</w:t>
      </w:r>
    </w:p>
    <w:p w14:paraId="2D968C5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393439F" w14:textId="101020E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708 mm</w:t>
      </w:r>
    </w:p>
    <w:p w14:paraId="4395E5F5" w14:textId="3D31608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8 pc.</w:t>
      </w:r>
    </w:p>
    <w:p w14:paraId="68A3AE8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6A6AAE8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01C2A7B9"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23A9130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29EA6AD8" w14:textId="2E350D4E"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284C2E4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D97CA1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EC4E121"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01.07.11 Mise en œuvre d’une noue réalisée à partir de bandes complémentaires Prefalz</w:t>
      </w:r>
    </w:p>
    <w:p w14:paraId="670E556D" w14:textId="132F75B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tôles de noue réalisées à partir de bandes complémentaires Prefalz ; avec matériel de fixation et ajustage de tous les raccordements à la couverture PREFA (sur les deux côtés). Les éléments (max. 3000 mm) doivent être assemblés de manière à permettre une dilatation suffisante.</w:t>
      </w:r>
    </w:p>
    <w:p w14:paraId="2BF0287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74E20D9" w14:textId="0BCE674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4B4EEBB7" w14:textId="65D9534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2DB59EE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2B9CD79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705B450A"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78747AC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505BEAE9" w14:textId="3C80699B"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2798307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4871F6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997E911"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br w:type="page"/>
        <w:t>01.07.18 Mise en œuvre d’une noue encaissée réalisée à partir de bandes complémentaires Prefalz</w:t>
      </w:r>
    </w:p>
    <w:p w14:paraId="29149A41" w14:textId="1ECD007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d’une noue encaissée (chéneau) mise en œuvre à partir de bandes complémentaires Prefalz ; noue posée sur la sous-construction surbaissée. Inclut le matériel de fixation et l’ajustage de tous les raccordements à la couverture PREFA (sur les deux côtés), ainsi que la pose d’un lé de sous-couverture offrant une protection supplémentaire contre les accumulations et retenues d’eau. Les éléments (max. 3000 mm) doivent être assemblés de manière à permettre une dilatation suffisante.</w:t>
      </w:r>
    </w:p>
    <w:p w14:paraId="166E76B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8F3C771" w14:textId="77777777" w:rsidR="00584964"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2EE1B44A" w14:textId="4B8F712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jusqu’à 5 pc.</w:t>
      </w:r>
    </w:p>
    <w:p w14:paraId="23CE382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394DE02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B7F7361"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137A33E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E1D6138" w14:textId="78466F6C"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5225A22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8CA4A0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5658AC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01.07.19 Mise en œuvre d’une noue (noues arrondies)</w:t>
      </w:r>
    </w:p>
    <w:p w14:paraId="29F9FB2C" w14:textId="5DD3C40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d’une noue arrondie en écailles mise en œuvre à partir de bandes complémentaires Prefalz (pour lucarnes arrondies). Les éléments (max. 3000 mm) doivent être assemblés de manière à permettre une dilatation suffisante. Inclut le matériel de fixation ainsi que l’ajustage de tous les raccordements à la couverture PREFA (sur les deux côtés).</w:t>
      </w:r>
    </w:p>
    <w:p w14:paraId="76258B2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958D5B4" w14:textId="789C3CF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Largeur de la lucarne : … mm</w:t>
      </w:r>
    </w:p>
    <w:p w14:paraId="000B0F38" w14:textId="562457AB"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Flèche : … mm</w:t>
      </w:r>
    </w:p>
    <w:p w14:paraId="43538CFE" w14:textId="6B139C0F"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Pente principale du toit : …°</w:t>
      </w:r>
    </w:p>
    <w:p w14:paraId="7754C83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identique au produit principal</w:t>
      </w:r>
    </w:p>
    <w:p w14:paraId="0A91A23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2DC03E3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Qualité du matériau : identique au produit principal</w:t>
      </w:r>
    </w:p>
    <w:p w14:paraId="4320CA4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4384A9C" w14:textId="06E3F79D"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5BFD0C5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5D02E5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C5132D1"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01.07.20 Raccordement de couloir latéral</w:t>
      </w:r>
    </w:p>
    <w:p w14:paraId="334ADD00"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Livraison et pose de raccordements de couloirs latéraux (avec bord relevé) ; matériel de fixation compris.</w:t>
      </w:r>
    </w:p>
    <w:p w14:paraId="5A0D052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6A8F2E6D" w14:textId="59797A86"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08C16F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95AD5F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BA51B1B"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01.07.21 Ressaut (non ventilé)</w:t>
      </w:r>
    </w:p>
    <w:p w14:paraId="51CA364E" w14:textId="0CCFD18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Mise en œuvre d’un ressaut avec agrafe grisonne, sans entrée d’air, afin de permettre l’expansion des bacs (pour absorber les effets des variations thermiques) ; pose réalisée sur la sous-construction existante.</w:t>
      </w:r>
    </w:p>
    <w:p w14:paraId="2D03E214"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Les bords supérieurs des bacs inférieurs sont à mettre en œuvre en utilisant des agrafes grisonnes (rabat inclus). Il faudra tenir compte de la bande de départ, de la mise en œuvre de l’avant-toit ainsi que des raccordements aux arêtiers, aux noues, aux rives, aux murs, etc.</w:t>
      </w:r>
    </w:p>
    <w:p w14:paraId="0904E47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55BE1F30" w14:textId="52649761"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1BBE9DB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AB4B36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78A97DC"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br w:type="page"/>
      </w:r>
      <w:r>
        <w:rPr>
          <w:b/>
          <w:bCs/>
          <w:sz w:val="20"/>
          <w:szCs w:val="20"/>
        </w:rPr>
        <w:lastRenderedPageBreak/>
        <w:t>01.07.22 Ressaut (non ventilé) sur coyau</w:t>
      </w:r>
    </w:p>
    <w:p w14:paraId="39E7E07E" w14:textId="0152FB98" w:rsidR="00CE0999" w:rsidRDefault="00CE0999" w:rsidP="0075760F">
      <w:pPr>
        <w:pStyle w:val="Normal"/>
        <w:tabs>
          <w:tab w:val="left" w:pos="4536"/>
          <w:tab w:val="left" w:pos="9072"/>
          <w:tab w:val="left" w:pos="13608"/>
        </w:tabs>
        <w:ind w:right="1870"/>
        <w:rPr>
          <w:sz w:val="20"/>
          <w:szCs w:val="20"/>
        </w:rPr>
      </w:pPr>
      <w:r>
        <w:rPr>
          <w:sz w:val="20"/>
          <w:szCs w:val="20"/>
        </w:rPr>
        <w:t>Mise en œuvre d’un ressaut avec agrafe grisonne, sans entrée d’air, afin de permettre l’expansion des bacs (pour absorber les effets des variations thermiques) ; pose réalisée sur la sous-construction existante.</w:t>
      </w:r>
    </w:p>
    <w:p w14:paraId="1153CD1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Les bords supérieurs des bacs inférieurs sont à mettre en œuvre en utilisant des agrafes grisonnes (rabat inclus). Il faudra tenir compte de la bande de départ, de la mise en œuvre de l’avant-toit ainsi que des raccordements aux arêtiers, aux noues, aux rives, aux murs, etc.</w:t>
      </w:r>
    </w:p>
    <w:p w14:paraId="56F0D80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2ADE9EF" w14:textId="23A5C5DE"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709C867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FDF821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A3C1FDD"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01.07.23 Mise en œuvre d’un ressaut (non ventilé)</w:t>
      </w:r>
    </w:p>
    <w:p w14:paraId="24CB8818" w14:textId="7C8E4D65" w:rsidR="00CE0999" w:rsidRDefault="00CE0999" w:rsidP="0075760F">
      <w:pPr>
        <w:pStyle w:val="Normal"/>
        <w:tabs>
          <w:tab w:val="left" w:pos="4536"/>
          <w:tab w:val="left" w:pos="9072"/>
          <w:tab w:val="left" w:pos="13608"/>
        </w:tabs>
        <w:ind w:right="1870"/>
        <w:rPr>
          <w:sz w:val="20"/>
          <w:szCs w:val="20"/>
        </w:rPr>
      </w:pPr>
      <w:r>
        <w:rPr>
          <w:sz w:val="20"/>
          <w:szCs w:val="20"/>
        </w:rPr>
        <w:t>Mise en œuvre d’un ressaut avec agrafe grisonne, avec entrée d’air, afin de permettre l’expansion des bacs (pour absorber les effets des variations thermiques) ; pose réalisée sur la sous-construction existante.</w:t>
      </w:r>
    </w:p>
    <w:p w14:paraId="4D0D70F4"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Les bords supérieurs des bacs inférieurs sont à mettre en œuvre en utilisant des agrafes grisonnes (rabat inclus). Il faudra tenir compte de la bande de départ, de la mise en œuvre de l’avant-toit, de la bande d’aluminium perforée ainsi que des raccordements aux arêtiers, aux noues, aux rives, aux murs, etc.</w:t>
      </w:r>
    </w:p>
    <w:p w14:paraId="17B329C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7DDC13C" w14:textId="2CD92C80"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F5617F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4E2882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6400964"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01.07.24 Bande de rive réalisée à partir de bandes complémentaires Prefalz</w:t>
      </w:r>
    </w:p>
    <w:p w14:paraId="0ED4238F" w14:textId="718DC15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rive réalisées à partir de bandes complémentaires Prefalz ; avec matériel de fixation et ajustage à la couverture PREFA. Les éléments (max. 3000 mm) doivent être assemblés de manière à permettre une dilatation suffisante.</w:t>
      </w:r>
    </w:p>
    <w:p w14:paraId="7B64EFC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A5076E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Bande de rive :</w:t>
      </w:r>
    </w:p>
    <w:p w14:paraId="2BEF017F" w14:textId="0589EF3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0B191CBD" w14:textId="21C1A53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5D702998" w14:textId="6C452A0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0,70 mm</w:t>
      </w:r>
    </w:p>
    <w:p w14:paraId="32F8892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3B199D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Bande d’accrochage :</w:t>
      </w:r>
    </w:p>
    <w:p w14:paraId="4F66D72B" w14:textId="47E9565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37596A35" w14:textId="240A49C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7C4C4812" w14:textId="4E0A291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au moins 1,0 mm</w:t>
      </w:r>
    </w:p>
    <w:p w14:paraId="1575CC0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322161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C478DA3"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401184B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775C1B3" w14:textId="12E73D94"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7B1CA2B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49C131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CDA84E0"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01.07.25 Supplément pour la mise en œuvre d’une rive arrondie</w:t>
      </w:r>
    </w:p>
    <w:p w14:paraId="272CC37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Supplément pour la mise en œuvre d’une rive arrondie (composée de plusieurs segments).</w:t>
      </w:r>
    </w:p>
    <w:p w14:paraId="7B53990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5BF80409" w14:textId="394F20B6"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5122717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168C16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0F143A3"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br w:type="page"/>
      </w:r>
      <w:r>
        <w:rPr>
          <w:b/>
          <w:bCs/>
          <w:sz w:val="20"/>
          <w:szCs w:val="20"/>
        </w:rPr>
        <w:lastRenderedPageBreak/>
        <w:t>01.07.26 Mise en œuvre de faîtières et arêtiers réalisés à partir de bandes complémentaires Prefalz</w:t>
      </w:r>
    </w:p>
    <w:p w14:paraId="28F1D12F" w14:textId="1AD10D20"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Livraison et pose d’une faîtière avec chemin de sortie d’air ; installée sur la sous-construction existante ; ventilée et réalisée à partir de bandes complémentaires Prefalz.</w:t>
      </w:r>
    </w:p>
    <w:p w14:paraId="5FF2BECE" w14:textId="11E2EAA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Il faudra tenir compte des des raccordements aux arêtiers, aux noues, aux rives, aux murs, etc. ; les bords deux bacs latéraux sont à mettre en œuvre en utilisant des agrafes grisonnes (rabat inclus).</w:t>
      </w:r>
    </w:p>
    <w:p w14:paraId="1CE93514" w14:textId="4E3B82D9" w:rsidR="00C57495" w:rsidRDefault="00C57495"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Les éléments (max. 3000 mm) doivent être assemblés de manière à permettre une dilatation suffisante.</w:t>
      </w:r>
    </w:p>
    <w:p w14:paraId="47E7A57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CC4419E" w14:textId="5550336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Bandes d’accrochage (2 bandes)</w:t>
      </w:r>
    </w:p>
    <w:p w14:paraId="30160D63" w14:textId="1242B966"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au moins 1,0 mm</w:t>
      </w:r>
    </w:p>
    <w:p w14:paraId="590C5146" w14:textId="3C24BAA6"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 de coupe : jusqu’à 200 mm</w:t>
      </w:r>
    </w:p>
    <w:p w14:paraId="4896E11E" w14:textId="0BE9D26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Pliure : 2 pc.</w:t>
      </w:r>
    </w:p>
    <w:p w14:paraId="5F470AF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37BD7F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Capuchon de protection :</w:t>
      </w:r>
    </w:p>
    <w:p w14:paraId="01189704" w14:textId="2A889BC6"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 mm</w:t>
      </w:r>
    </w:p>
    <w:p w14:paraId="27663318" w14:textId="2CC3A9F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 de coupe : jusqu’à 700 mm</w:t>
      </w:r>
    </w:p>
    <w:p w14:paraId="16C2F3DE" w14:textId="419640A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Pliure : jusqu’à 7 pc.</w:t>
      </w:r>
    </w:p>
    <w:p w14:paraId="501249F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8ABDD9B" w14:textId="6CC48DAC" w:rsidR="00CE0999" w:rsidRDefault="0021423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Bande d’aluminium perforée : perforations circulaires (</w:t>
      </w:r>
      <w:r>
        <w:rPr>
          <w:rFonts w:ascii="Menlo Regular" w:hAnsi="Menlo Regular"/>
          <w:sz w:val="20"/>
          <w:szCs w:val="20"/>
        </w:rPr>
        <w:t>⌀</w:t>
      </w:r>
      <w:r>
        <w:rPr>
          <w:sz w:val="20"/>
          <w:szCs w:val="20"/>
        </w:rPr>
        <w:t xml:space="preserve"> 5 mm)</w:t>
      </w:r>
    </w:p>
    <w:p w14:paraId="2461823D" w14:textId="1D99D00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 mm</w:t>
      </w:r>
    </w:p>
    <w:p w14:paraId="4BCE2C76" w14:textId="1BEB6B56"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 de coupe : jusqu’à 250 mm</w:t>
      </w:r>
    </w:p>
    <w:p w14:paraId="3D667E73"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Pliure : jusqu’à 4 pc.</w:t>
      </w:r>
    </w:p>
    <w:p w14:paraId="200DE35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90C1460" w14:textId="34394D0B"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FD720C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B103CA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C77D3B3"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01.07.27 Chemin de sortie d’air mural réalisé à partir de bandes complémentaires Prefalz (ventilé)</w:t>
      </w:r>
    </w:p>
    <w:p w14:paraId="6A1C9F6D" w14:textId="08F43A9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Livraison et pose d’un chemin de sortie d’air mural ; installé sur la sous-construction existante ; réalisé à partir de bandes complémentaires Prefalz.</w:t>
      </w:r>
    </w:p>
    <w:p w14:paraId="671D155A" w14:textId="3A768DF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color w:val="000000"/>
          <w:sz w:val="20"/>
          <w:szCs w:val="20"/>
        </w:rPr>
        <w:t xml:space="preserve">Il faudra tenir compte des raccordements aux arêtiers, aux noues, aux rives, aux murs, etc. </w:t>
      </w:r>
      <w:r>
        <w:rPr>
          <w:sz w:val="20"/>
          <w:szCs w:val="20"/>
        </w:rPr>
        <w:t>Les bords supérieurs des bacs inférieurs sont à mettre en œuvre en utilisant des agrafes grisonnes (rabat inclus).</w:t>
      </w:r>
    </w:p>
    <w:p w14:paraId="61C9081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84857D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Couleur : identique au produit principal</w:t>
      </w:r>
    </w:p>
    <w:p w14:paraId="0A5F764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0B49563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identique au produit principal</w:t>
      </w:r>
    </w:p>
    <w:p w14:paraId="177E30D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F2450F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Bande d’accrochage :</w:t>
      </w:r>
    </w:p>
    <w:p w14:paraId="0F42072B" w14:textId="4ECD22AB"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au moins 1 mm</w:t>
      </w:r>
    </w:p>
    <w:p w14:paraId="7319B963" w14:textId="60E32CA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 de coupe : jusqu’à 200 mm</w:t>
      </w:r>
    </w:p>
    <w:p w14:paraId="3CE9F0B8" w14:textId="6D265BB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Pliure : 2 pc.</w:t>
      </w:r>
    </w:p>
    <w:p w14:paraId="75C4901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0D8CCF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Capuchon de protection :</w:t>
      </w:r>
    </w:p>
    <w:p w14:paraId="683C47CB" w14:textId="3882D04A"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 mm</w:t>
      </w:r>
    </w:p>
    <w:p w14:paraId="6B9B20B1" w14:textId="243B79CF"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 de coupe : jusqu’à 500 mm</w:t>
      </w:r>
    </w:p>
    <w:p w14:paraId="3942205C" w14:textId="00761D6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Pliure : 4 pc.</w:t>
      </w:r>
    </w:p>
    <w:p w14:paraId="38E03F3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DE5FA00" w14:textId="6C412059" w:rsidR="00CE0999" w:rsidRDefault="0021423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Bande d’aluminium perforée : perforations circulaires (</w:t>
      </w:r>
      <w:r>
        <w:rPr>
          <w:rFonts w:ascii="Menlo Regular" w:hAnsi="Menlo Regular"/>
          <w:sz w:val="20"/>
          <w:szCs w:val="20"/>
        </w:rPr>
        <w:t>⌀</w:t>
      </w:r>
      <w:r>
        <w:rPr>
          <w:sz w:val="20"/>
          <w:szCs w:val="20"/>
        </w:rPr>
        <w:t xml:space="preserve"> 5 mm)</w:t>
      </w:r>
    </w:p>
    <w:p w14:paraId="4AB47D62" w14:textId="508C7BE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 mm</w:t>
      </w:r>
    </w:p>
    <w:p w14:paraId="093AF8F7" w14:textId="6189FD6E"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 de coupe : jusqu’à 150 mm</w:t>
      </w:r>
    </w:p>
    <w:p w14:paraId="160D2A96"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Pliure : jusqu’à 2 pc.</w:t>
      </w:r>
    </w:p>
    <w:p w14:paraId="1227867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FCE8172" w14:textId="566C8F12"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115DA7F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101A5C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00FE2DD"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01.07.28 Raccord de faîtage de toit monopente réalisé à partir de bandes complémentaires Prefalz</w:t>
      </w:r>
    </w:p>
    <w:p w14:paraId="206AB3FD" w14:textId="4742284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raccords de faîtage de toit monopente réalisés à partir de bandes complémentaires Prefalz ; avec matériel de fixation et ajustage à la couverture PREFA. Les éléments (max. 3000 mm) doivent être assemblés de manière à permettre une dilatation suffisante.</w:t>
      </w:r>
    </w:p>
    <w:p w14:paraId="3887ADE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8274B3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Couleur : identique au produit principal</w:t>
      </w:r>
    </w:p>
    <w:p w14:paraId="267D3DB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2DB5934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identique au produit principal</w:t>
      </w:r>
    </w:p>
    <w:p w14:paraId="29E0306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8AD09C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Bande de départ :</w:t>
      </w:r>
    </w:p>
    <w:p w14:paraId="415CD988" w14:textId="040186F9"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au moins 1,0 mm</w:t>
      </w:r>
    </w:p>
    <w:p w14:paraId="2211FFC3" w14:textId="2763F5B5"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 de coupe : jusqu’à 200 mm</w:t>
      </w:r>
    </w:p>
    <w:p w14:paraId="278DAF03" w14:textId="2A9C0F6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Pliure : 4 pc.</w:t>
      </w:r>
    </w:p>
    <w:p w14:paraId="017FD16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F90D83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Profil de recouvrement :</w:t>
      </w:r>
    </w:p>
    <w:p w14:paraId="12C3D5F5" w14:textId="67106389"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 mm</w:t>
      </w:r>
    </w:p>
    <w:p w14:paraId="7DF3CF69" w14:textId="4CD8A7C2"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 de coupe : jusqu’à 500 mm</w:t>
      </w:r>
    </w:p>
    <w:p w14:paraId="0D68E892" w14:textId="607DB86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Pliure : 6 pc.</w:t>
      </w:r>
    </w:p>
    <w:p w14:paraId="0CAED6D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A740F75" w14:textId="4E8C6ADC" w:rsidR="00CE0999" w:rsidRDefault="0021423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Bande d’aluminium perforée : perforations circulaires (</w:t>
      </w:r>
      <w:r>
        <w:rPr>
          <w:rFonts w:ascii="Menlo Regular" w:hAnsi="Menlo Regular"/>
          <w:sz w:val="20"/>
          <w:szCs w:val="20"/>
        </w:rPr>
        <w:t>⌀</w:t>
      </w:r>
      <w:r>
        <w:rPr>
          <w:sz w:val="20"/>
          <w:szCs w:val="20"/>
        </w:rPr>
        <w:t xml:space="preserve"> 5 mm)</w:t>
      </w:r>
    </w:p>
    <w:p w14:paraId="4181B4D3" w14:textId="719967F5"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 mm</w:t>
      </w:r>
    </w:p>
    <w:p w14:paraId="2802DAC5" w14:textId="28A89E8E"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 de coupe : 150 mm</w:t>
      </w:r>
    </w:p>
    <w:p w14:paraId="21A9AF8E" w14:textId="77777777" w:rsidR="00B46B0D"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Pliure : 1 pc.</w:t>
      </w:r>
    </w:p>
    <w:p w14:paraId="0C7F258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327CC566" w14:textId="722A28F5"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04CFA5C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D1889A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D16DF64"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01.07.29 Mise en œuvre de faîtières et arêtiers non ventilés (avec volige chanlattée)</w:t>
      </w:r>
    </w:p>
    <w:p w14:paraId="361AECB7" w14:textId="2166BABE" w:rsidR="00CE0999" w:rsidRDefault="00CE0999" w:rsidP="0075760F">
      <w:pPr>
        <w:pStyle w:val="Normal"/>
        <w:tabs>
          <w:tab w:val="left" w:pos="4536"/>
          <w:tab w:val="left" w:pos="9072"/>
          <w:tab w:val="left" w:pos="13608"/>
        </w:tabs>
        <w:ind w:right="1870"/>
        <w:rPr>
          <w:sz w:val="22"/>
          <w:szCs w:val="22"/>
        </w:rPr>
      </w:pPr>
      <w:r>
        <w:rPr>
          <w:sz w:val="20"/>
          <w:szCs w:val="20"/>
        </w:rPr>
        <w:t>Livraison et pose de faîtières et arêtiers non ventilés avec volige chanlattée ; les bacs sont relevés sur les deux bords et forment un rabat ; avec emboîtement de la couverture d’arêtier.</w:t>
      </w:r>
    </w:p>
    <w:p w14:paraId="41F7F1B0" w14:textId="77777777" w:rsidR="00CE0999" w:rsidRDefault="00CE0999" w:rsidP="0075760F">
      <w:pPr>
        <w:pStyle w:val="Normal"/>
        <w:tabs>
          <w:tab w:val="left" w:pos="4536"/>
          <w:tab w:val="left" w:pos="9072"/>
          <w:tab w:val="left" w:pos="13608"/>
        </w:tabs>
        <w:ind w:right="1870"/>
        <w:rPr>
          <w:sz w:val="22"/>
          <w:szCs w:val="22"/>
          <w:lang w:eastAsia="x-none"/>
        </w:rPr>
      </w:pPr>
    </w:p>
    <w:p w14:paraId="5FFFB22B" w14:textId="4F56F618"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6F631587" w14:textId="1955C15A" w:rsidR="00CE0999" w:rsidRDefault="00CE0999" w:rsidP="0075760F">
      <w:pPr>
        <w:pStyle w:val="Normal"/>
        <w:tabs>
          <w:tab w:val="left" w:pos="4536"/>
          <w:tab w:val="left" w:pos="9072"/>
          <w:tab w:val="left" w:pos="13608"/>
        </w:tabs>
        <w:ind w:right="1870"/>
        <w:rPr>
          <w:sz w:val="20"/>
          <w:szCs w:val="20"/>
        </w:rPr>
      </w:pPr>
      <w:r>
        <w:rPr>
          <w:sz w:val="20"/>
          <w:szCs w:val="20"/>
        </w:rPr>
        <w:t>Pliure : … pc.</w:t>
      </w:r>
    </w:p>
    <w:p w14:paraId="473DCA30" w14:textId="68744090" w:rsidR="00CE0999" w:rsidRDefault="00CE0999" w:rsidP="0075760F">
      <w:pPr>
        <w:pStyle w:val="Normal"/>
        <w:tabs>
          <w:tab w:val="left" w:pos="4536"/>
          <w:tab w:val="left" w:pos="9072"/>
          <w:tab w:val="left" w:pos="13608"/>
        </w:tabs>
        <w:ind w:right="1870"/>
        <w:rPr>
          <w:sz w:val="20"/>
          <w:szCs w:val="20"/>
        </w:rPr>
      </w:pPr>
      <w:r>
        <w:rPr>
          <w:sz w:val="20"/>
          <w:szCs w:val="20"/>
        </w:rPr>
        <w:t>Épaisseur du matériau : 0,70 mm</w:t>
      </w:r>
    </w:p>
    <w:p w14:paraId="28826DE1"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13943574"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37D35D1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600579D" w14:textId="758E416A"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2A5F1F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33FC78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87FF19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01.07.30 Supplément pour la mise en œuvre de faîtières et arêtiers (faîtières arrondies)</w:t>
      </w:r>
    </w:p>
    <w:p w14:paraId="4759749D" w14:textId="70D64E1F"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Supplément pour la mise en œuvre d’une faîtière arrondie (composée de plusieurs segments).</w:t>
      </w:r>
    </w:p>
    <w:p w14:paraId="0F63670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3751E9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249F4A02" w14:textId="0F8CDEB1"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6F242C0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9BABF6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572BF26"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01.07.31 Chapeau de raccordement pour chatière</w:t>
      </w:r>
    </w:p>
    <w:p w14:paraId="4E536B07" w14:textId="6C4E5DD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chapeaux de raccordement pour chatière pour permettre la ventilation de la lame d’air (entrée et sortie d’air) ; avec perforation et partie supérieure fabriquée par emboutissage. Installation par assemblage riveté ou collé, avec découpe des ouvertures requises dans la couverture et dans le voligeage.</w:t>
      </w:r>
    </w:p>
    <w:p w14:paraId="713DB80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7CA694B" w14:textId="29C7FBD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1,20 mm</w:t>
      </w:r>
    </w:p>
    <w:p w14:paraId="5B36404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4B4CE26C" w14:textId="3BB2E000"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Section d’aération : env. 30 cm²</w:t>
      </w:r>
    </w:p>
    <w:p w14:paraId="3D29A97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0256574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AB75352" w14:textId="71FB897E"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pc.</w:t>
      </w:r>
      <w:r>
        <w:rPr>
          <w:sz w:val="20"/>
          <w:szCs w:val="20"/>
        </w:rPr>
        <w:tab/>
        <w:t>PU _____________  PT _____________</w:t>
      </w:r>
    </w:p>
    <w:p w14:paraId="455E0E1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4503C8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1E95DD3"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01.07.32 Raccordement de ventilation à coller pour toitures à joints debout</w:t>
      </w:r>
    </w:p>
    <w:p w14:paraId="4C5E36B8" w14:textId="552F47F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raccordements de ventilation à coller PREFA pour les pénétrations de tuyaux ; inclut la découpe de l’ouverture dans le voligeage et la mise en œuvre dans la couverture PREFA au moyen du kit d’assemblage PREFA. Respecter les directives de pose PREFA.</w:t>
      </w:r>
    </w:p>
    <w:p w14:paraId="5566167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877F8F1" w14:textId="46C666AB"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Pente de toit : entre 3° et 52°</w:t>
      </w:r>
    </w:p>
    <w:p w14:paraId="3D96141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418E58D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 identique au produit principal</w:t>
      </w:r>
    </w:p>
    <w:p w14:paraId="0CF3858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555655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Pénétrations de tuyaux :</w:t>
      </w:r>
    </w:p>
    <w:p w14:paraId="681D1B95" w14:textId="3661CD15"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diamètre compris entre 50 mm et 65 mm</w:t>
      </w:r>
    </w:p>
    <w:p w14:paraId="3FB81BD7" w14:textId="762587CB"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diamètre compris entre 80 mm et 120 mm</w:t>
      </w:r>
    </w:p>
    <w:p w14:paraId="1510D27C" w14:textId="7A96ACD0"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diamètre compris entre 120 mm et 170 mm</w:t>
      </w:r>
    </w:p>
    <w:p w14:paraId="4C3D470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diamètre compris entre 170 mm et 210 mm</w:t>
      </w:r>
    </w:p>
    <w:p w14:paraId="65DA70F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322C3932" w14:textId="17BFD9F3"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pc.</w:t>
      </w:r>
      <w:r>
        <w:rPr>
          <w:sz w:val="20"/>
          <w:szCs w:val="20"/>
        </w:rPr>
        <w:tab/>
        <w:t>PU _____________  PT _____________</w:t>
      </w:r>
    </w:p>
    <w:p w14:paraId="082BBD7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11172D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0E2A0C5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01.07.33 Tuyau de ventilation</w:t>
      </w:r>
    </w:p>
    <w:p w14:paraId="6DEBF119" w14:textId="73B776D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tuyaux de ventilation PREFA (fournis avec capuchon) ; comprend l’installation dans le raccordement de ventilation ainsi que l’étanchéification de la rosette. Respecter les directives de pose PREFA.</w:t>
      </w:r>
    </w:p>
    <w:p w14:paraId="0F8D2DA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61CB33D" w14:textId="7E5F7BDE"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Hauteur totale : 380 mm</w:t>
      </w:r>
    </w:p>
    <w:p w14:paraId="0614E9A7" w14:textId="4924BD07" w:rsidR="00CE0999" w:rsidRDefault="00385AD8"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Diamètre : 100 mm, 120 mm</w:t>
      </w:r>
    </w:p>
    <w:p w14:paraId="6B5471E0" w14:textId="1BFB68D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1,00 mm</w:t>
      </w:r>
    </w:p>
    <w:p w14:paraId="21A17FC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48275FC"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6BF50EA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AB03128" w14:textId="7A0B1AE8"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pc.</w:t>
      </w:r>
      <w:r>
        <w:rPr>
          <w:sz w:val="20"/>
          <w:szCs w:val="20"/>
        </w:rPr>
        <w:tab/>
        <w:t>PU _____________  PT _____________</w:t>
      </w:r>
    </w:p>
    <w:p w14:paraId="333FE8C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5D2A29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89B4709"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01.07.34 Soufflet plissé</w:t>
      </w:r>
    </w:p>
    <w:p w14:paraId="5111DAA2" w14:textId="6CB360F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soufflets plissés en EPDM à élasticité permanente pour l’assemblage de passages dans la sous-couverture. Respecter les directives de pose PREFA.</w:t>
      </w:r>
    </w:p>
    <w:p w14:paraId="34FD6B9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5DFAF5A" w14:textId="144B62DE" w:rsidR="004A0473" w:rsidRDefault="00385AD8"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Diamètre : entre 100 et 130 mm</w:t>
      </w:r>
    </w:p>
    <w:p w14:paraId="4156C89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2952474" w14:textId="7BD477BA"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pc.</w:t>
      </w:r>
      <w:r>
        <w:rPr>
          <w:sz w:val="20"/>
          <w:szCs w:val="20"/>
        </w:rPr>
        <w:tab/>
        <w:t>PU _____________  PT _____________</w:t>
      </w:r>
    </w:p>
    <w:p w14:paraId="3959375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EAD0E8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96CEC30"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 xml:space="preserve">01.07.35 Abergement de cheminée, de conduit de ventilation, de puits de lumière ou </w:t>
      </w:r>
      <w:r>
        <w:rPr>
          <w:b/>
          <w:bCs/>
          <w:sz w:val="20"/>
          <w:szCs w:val="20"/>
        </w:rPr>
        <w:lastRenderedPageBreak/>
        <w:t>de fenêtre de toit</w:t>
      </w:r>
    </w:p>
    <w:p w14:paraId="73242722" w14:textId="4013FA0F"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Livraison et pose d’abergements pour cheminées, conduits de ventilation, puits de lumière ou fenêtres de toit (sur les quatre côtés ; tôle relevée sur une hauteur d’environ 200 mm) ; avec installation et assemblage aux agrafures longitudinales et transversales.</w:t>
      </w:r>
    </w:p>
    <w:p w14:paraId="4CFE41D4" w14:textId="0340EE7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Pour les pénétrations dont la largeur est supérieure à 1,0 m, prévoir la mise en œuvre d’un coyau au niveau de l’abergement haut.</w:t>
      </w:r>
    </w:p>
    <w:p w14:paraId="5130533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5F5E9E1" w14:textId="382CD50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 × … mm</w:t>
      </w:r>
    </w:p>
    <w:p w14:paraId="061A48B7" w14:textId="6142145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39643E2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F91E2AA"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3AB1667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683C00D2" w14:textId="67851E5D"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pc.</w:t>
      </w:r>
      <w:r>
        <w:rPr>
          <w:sz w:val="20"/>
          <w:szCs w:val="20"/>
        </w:rPr>
        <w:tab/>
        <w:t>PU _____________  PT _____________</w:t>
      </w:r>
    </w:p>
    <w:p w14:paraId="42B5448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F13436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0376B8D"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01.07.36 Abergement de cheminée, de conduit de ventilation, de puits de lumière ou de fenêtre de toit</w:t>
      </w:r>
    </w:p>
    <w:p w14:paraId="532582C7" w14:textId="610D2453"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Livraison et pose d’abergements pour cheminées, conduits de ventilation, puits de lumière ou fenêtres de toit (sur les quatre côtés ; tôle relevée sur une hauteur d’environ 200 mm) ; avec installation et assemblage aux agrafures longitudinales et transversales.</w:t>
      </w:r>
    </w:p>
    <w:p w14:paraId="6116FD5C" w14:textId="199F877E" w:rsidR="00CE0999" w:rsidRDefault="00CE0999" w:rsidP="0075760F">
      <w:pPr>
        <w:pStyle w:val="Normal"/>
        <w:tabs>
          <w:tab w:val="left" w:pos="4536"/>
          <w:tab w:val="left" w:pos="9072"/>
          <w:tab w:val="left" w:pos="13608"/>
        </w:tabs>
        <w:ind w:right="1870"/>
        <w:rPr>
          <w:sz w:val="22"/>
          <w:szCs w:val="22"/>
        </w:rPr>
      </w:pPr>
      <w:r>
        <w:rPr>
          <w:sz w:val="20"/>
          <w:szCs w:val="20"/>
        </w:rPr>
        <w:t>Pour les pénétrations dont la largeur est supérieure à 1,0 m, prévoir la mise en œuvre d’un coyau au niveau de l’abergement haut.</w:t>
      </w:r>
    </w:p>
    <w:p w14:paraId="4A028FEF" w14:textId="77777777" w:rsidR="00CE0999" w:rsidRDefault="00CE0999" w:rsidP="0075760F">
      <w:pPr>
        <w:pStyle w:val="Normal"/>
        <w:tabs>
          <w:tab w:val="left" w:pos="4536"/>
          <w:tab w:val="left" w:pos="9072"/>
          <w:tab w:val="left" w:pos="13608"/>
        </w:tabs>
        <w:ind w:right="1870"/>
        <w:rPr>
          <w:sz w:val="22"/>
          <w:szCs w:val="22"/>
          <w:lang w:eastAsia="x-none"/>
        </w:rPr>
      </w:pPr>
    </w:p>
    <w:p w14:paraId="5F5891AC" w14:textId="77777777" w:rsidR="00CE0999" w:rsidRDefault="00CE0999" w:rsidP="0075760F">
      <w:pPr>
        <w:pStyle w:val="Normal"/>
        <w:tabs>
          <w:tab w:val="left" w:pos="4536"/>
          <w:tab w:val="left" w:pos="9072"/>
          <w:tab w:val="left" w:pos="13608"/>
        </w:tabs>
        <w:ind w:right="1870"/>
        <w:rPr>
          <w:sz w:val="20"/>
          <w:szCs w:val="20"/>
        </w:rPr>
      </w:pPr>
      <w:r>
        <w:rPr>
          <w:sz w:val="20"/>
          <w:szCs w:val="20"/>
        </w:rPr>
        <w:t>Couleur : identique au produit principal</w:t>
      </w:r>
    </w:p>
    <w:p w14:paraId="63D9691F"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3FFCBD84"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Épaisseur du matériau : 0,70 mm</w:t>
      </w:r>
    </w:p>
    <w:p w14:paraId="5DFF366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4D5D172" w14:textId="6593BC41"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22D7429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722A30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0D33710"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01.07.37 Habillage de cheminée et de conduit de ventilation</w:t>
      </w:r>
    </w:p>
    <w:p w14:paraId="570CD4C4" w14:textId="46D4126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d’habillages de cheminée et de conduits de ventilation ; habillages réalisés à partir de bandes complémentaires Prefalz. Fabrication des habillages (mise en œuvre par pliage) sur la base des mesures prises sur site (mesure prise jusqu’à la base de l’embranchement)</w:t>
      </w:r>
    </w:p>
    <w:p w14:paraId="224B351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A40EE6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Couleur : identique au produit principal</w:t>
      </w:r>
    </w:p>
    <w:p w14:paraId="6805C11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FCDCF52" w14:textId="2074BC9F"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1FF11C0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Dimensions : … × … × … mm</w:t>
      </w:r>
    </w:p>
    <w:p w14:paraId="7FCE39F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2AE45DF3" w14:textId="6131DE56"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pc.</w:t>
      </w:r>
      <w:r>
        <w:rPr>
          <w:sz w:val="20"/>
          <w:szCs w:val="20"/>
        </w:rPr>
        <w:tab/>
        <w:t>PU _____________  PT _____________</w:t>
      </w:r>
    </w:p>
    <w:p w14:paraId="2592ED1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09E209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9430749"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01.07.38 Habillage de cheminée et de conduit de ventilation</w:t>
      </w:r>
    </w:p>
    <w:p w14:paraId="35F99B50" w14:textId="1D53F74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d’habillages de cheminée et de conduits de ventilation ; habillages réalisés à partir de bandes complémentaires Prefalz. Fabrication des habillages (mise en œuvre par pliage) sur la base des mesures prises sur site (mesure prise jusqu’à la base de l’embranchement)</w:t>
      </w:r>
    </w:p>
    <w:p w14:paraId="43C80E1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CD0C9B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Couleur : identique au produit principal</w:t>
      </w:r>
    </w:p>
    <w:p w14:paraId="20D7510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24196C8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Épaisseur du matériau : 0,70 mm</w:t>
      </w:r>
    </w:p>
    <w:p w14:paraId="7E64F5F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2BDFDA8" w14:textId="54529268"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023DFCA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F122B0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8004B8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lastRenderedPageBreak/>
        <w:t>01.07.39 Chapeau de cheminée</w:t>
      </w:r>
    </w:p>
    <w:p w14:paraId="029EF9A2" w14:textId="170939EF" w:rsidR="00584964" w:rsidRDefault="00584964" w:rsidP="0075760F">
      <w:pPr>
        <w:pStyle w:val="Normal"/>
        <w:tabs>
          <w:tab w:val="left" w:pos="4536"/>
          <w:tab w:val="left" w:pos="9072"/>
          <w:tab w:val="left" w:pos="13608"/>
        </w:tabs>
        <w:ind w:right="1870"/>
        <w:rPr>
          <w:sz w:val="20"/>
          <w:szCs w:val="20"/>
        </w:rPr>
      </w:pPr>
      <w:r>
        <w:rPr>
          <w:sz w:val="20"/>
          <w:szCs w:val="20"/>
        </w:rPr>
        <w:t>Livraison et pose de chapeaux de cheminée réalisés à partir de bandes complémentaires Prefalz.</w:t>
      </w:r>
    </w:p>
    <w:p w14:paraId="3061BACD" w14:textId="77777777" w:rsidR="00CE0999" w:rsidRDefault="00CE0999" w:rsidP="0075760F">
      <w:pPr>
        <w:pStyle w:val="Normal"/>
        <w:tabs>
          <w:tab w:val="left" w:pos="4536"/>
          <w:tab w:val="left" w:pos="9072"/>
          <w:tab w:val="left" w:pos="13608"/>
        </w:tabs>
        <w:ind w:right="1870"/>
        <w:rPr>
          <w:sz w:val="22"/>
          <w:szCs w:val="22"/>
          <w:lang w:eastAsia="x-none"/>
        </w:rPr>
      </w:pPr>
    </w:p>
    <w:p w14:paraId="15B05199" w14:textId="77777777" w:rsidR="004A0247" w:rsidRDefault="00CE0999" w:rsidP="0075760F">
      <w:pPr>
        <w:pStyle w:val="Normal"/>
        <w:tabs>
          <w:tab w:val="left" w:pos="4536"/>
          <w:tab w:val="left" w:pos="9072"/>
          <w:tab w:val="left" w:pos="13608"/>
        </w:tabs>
        <w:ind w:right="1870"/>
        <w:rPr>
          <w:sz w:val="20"/>
          <w:szCs w:val="20"/>
        </w:rPr>
      </w:pPr>
      <w:r>
        <w:rPr>
          <w:sz w:val="20"/>
          <w:szCs w:val="20"/>
        </w:rPr>
        <w:t>Couleur : identique au produit principal</w:t>
      </w:r>
    </w:p>
    <w:p w14:paraId="63E97E32" w14:textId="77777777" w:rsidR="004A0247"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2EBA58B2" w14:textId="77777777" w:rsidR="00584964"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0,70 mm</w:t>
      </w:r>
    </w:p>
    <w:p w14:paraId="0CCD1592" w14:textId="1B372CB2" w:rsidR="00CE0999" w:rsidRDefault="00CE0999" w:rsidP="0075760F">
      <w:pPr>
        <w:pStyle w:val="Normal"/>
        <w:tabs>
          <w:tab w:val="left" w:pos="4536"/>
          <w:tab w:val="left" w:pos="9072"/>
          <w:tab w:val="left" w:pos="13608"/>
        </w:tabs>
        <w:ind w:right="1870"/>
        <w:rPr>
          <w:sz w:val="22"/>
          <w:szCs w:val="22"/>
          <w:lang w:eastAsia="x-none"/>
        </w:rPr>
      </w:pPr>
    </w:p>
    <w:p w14:paraId="3E62722B" w14:textId="77777777" w:rsidR="00584964" w:rsidRDefault="00CE0999" w:rsidP="0075760F">
      <w:pPr>
        <w:pStyle w:val="Normal"/>
        <w:tabs>
          <w:tab w:val="left" w:pos="4536"/>
          <w:tab w:val="left" w:pos="9072"/>
          <w:tab w:val="left" w:pos="13608"/>
        </w:tabs>
        <w:ind w:right="1870"/>
        <w:rPr>
          <w:rFonts w:eastAsia="Times New Roman"/>
          <w:sz w:val="20"/>
          <w:szCs w:val="20"/>
        </w:rPr>
      </w:pPr>
      <w:r>
        <w:rPr>
          <w:sz w:val="20"/>
          <w:szCs w:val="20"/>
        </w:rPr>
        <w:t>Dimensions : ……… × ……… mm</w:t>
      </w:r>
    </w:p>
    <w:p w14:paraId="3B4E222F" w14:textId="3DE968B3" w:rsidR="00CE0999" w:rsidRDefault="00CE0999" w:rsidP="0075760F">
      <w:pPr>
        <w:pStyle w:val="Normal"/>
        <w:tabs>
          <w:tab w:val="left" w:pos="4536"/>
          <w:tab w:val="left" w:pos="9072"/>
          <w:tab w:val="left" w:pos="13608"/>
        </w:tabs>
        <w:ind w:right="1870"/>
        <w:rPr>
          <w:sz w:val="22"/>
          <w:szCs w:val="22"/>
          <w:lang w:eastAsia="x-none"/>
        </w:rPr>
      </w:pPr>
    </w:p>
    <w:p w14:paraId="0698E6C4" w14:textId="77777777" w:rsidR="004A0473" w:rsidRDefault="00CA2F86"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Comprend la découpe, le sertissage et l’étanchéification des ouvertures.</w:t>
      </w:r>
    </w:p>
    <w:p w14:paraId="32D9A36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3D81C35" w14:textId="08AD2C7E"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pc.</w:t>
      </w:r>
      <w:r>
        <w:rPr>
          <w:sz w:val="20"/>
          <w:szCs w:val="20"/>
        </w:rPr>
        <w:tab/>
        <w:t>PU _____________  PT _____________</w:t>
      </w:r>
    </w:p>
    <w:p w14:paraId="625D803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80D0F8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F04C809"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01.07.40 Chapeau de cheminée</w:t>
      </w:r>
    </w:p>
    <w:p w14:paraId="0A82B9D8" w14:textId="681A964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chapeaux de cheminée PREFA , fournis avec les pieds et les vis en acier inoxydable.</w:t>
      </w:r>
    </w:p>
    <w:p w14:paraId="54203CC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3C7952C" w14:textId="648EFAA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2 mm</w:t>
      </w:r>
    </w:p>
    <w:p w14:paraId="4AB2A9C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w:t>
      </w:r>
    </w:p>
    <w:p w14:paraId="432712D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 identique au produit principal</w:t>
      </w:r>
    </w:p>
    <w:p w14:paraId="4D0A0DF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5C639A9" w14:textId="6DD35D2B" w:rsidR="00CE0999" w:rsidRDefault="00F57D14"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Dimensions standard : 700 × 700 mm, 800 × 800 mm, 1000 × 700 mm, 1100 × 800 mm, 1500 × 800 mm</w:t>
      </w:r>
    </w:p>
    <w:p w14:paraId="709ED11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6F21ECC"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Dimensions : … × … mm</w:t>
      </w:r>
    </w:p>
    <w:p w14:paraId="71945EE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E39A835" w14:textId="25E9F5DA"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pc.</w:t>
      </w:r>
      <w:r>
        <w:rPr>
          <w:sz w:val="20"/>
          <w:szCs w:val="20"/>
        </w:rPr>
        <w:tab/>
        <w:t>PU _____________  PT _____________</w:t>
      </w:r>
    </w:p>
    <w:p w14:paraId="6409F29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CABDAD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03BEFF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01.07.41 Bandes de solin fixées par enduit de parement (solins)</w:t>
      </w:r>
    </w:p>
    <w:p w14:paraId="6A2C3425" w14:textId="17F6C04C" w:rsidR="004A0247" w:rsidRDefault="004A0247" w:rsidP="0075760F">
      <w:pPr>
        <w:pStyle w:val="Normal"/>
        <w:tabs>
          <w:tab w:val="left" w:pos="4536"/>
          <w:tab w:val="left" w:pos="9072"/>
          <w:tab w:val="left" w:pos="13608"/>
        </w:tabs>
        <w:ind w:right="1870"/>
        <w:rPr>
          <w:sz w:val="20"/>
          <w:szCs w:val="20"/>
        </w:rPr>
      </w:pPr>
      <w:r>
        <w:rPr>
          <w:sz w:val="20"/>
          <w:szCs w:val="20"/>
        </w:rPr>
        <w:t>Livraison et pose de bandes de solin fixées par enduit de parement (solins) et réalisées à partir de bandes complémentaires Prefalz.</w:t>
      </w:r>
    </w:p>
    <w:p w14:paraId="01AD0766" w14:textId="77777777" w:rsidR="00CE0999" w:rsidRDefault="00CE0999" w:rsidP="0075760F">
      <w:pPr>
        <w:pStyle w:val="Normal"/>
        <w:tabs>
          <w:tab w:val="left" w:pos="4536"/>
          <w:tab w:val="left" w:pos="9072"/>
          <w:tab w:val="left" w:pos="13608"/>
        </w:tabs>
        <w:ind w:right="1870"/>
        <w:rPr>
          <w:sz w:val="22"/>
          <w:szCs w:val="22"/>
          <w:lang w:eastAsia="x-none"/>
        </w:rPr>
      </w:pPr>
    </w:p>
    <w:p w14:paraId="502AD7E2" w14:textId="77777777" w:rsidR="004A0247" w:rsidRDefault="00CE0999" w:rsidP="0075760F">
      <w:pPr>
        <w:pStyle w:val="Normal"/>
        <w:tabs>
          <w:tab w:val="left" w:pos="4536"/>
          <w:tab w:val="left" w:pos="9072"/>
          <w:tab w:val="left" w:pos="13608"/>
        </w:tabs>
        <w:ind w:right="1870"/>
        <w:rPr>
          <w:sz w:val="20"/>
          <w:szCs w:val="20"/>
        </w:rPr>
      </w:pPr>
      <w:r>
        <w:rPr>
          <w:sz w:val="20"/>
          <w:szCs w:val="20"/>
        </w:rPr>
        <w:t>Couleur : identique au produit principal</w:t>
      </w:r>
    </w:p>
    <w:p w14:paraId="6769056F" w14:textId="77777777" w:rsidR="004A0247"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0725511E" w14:textId="77777777" w:rsidR="00584964"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0,70 mm</w:t>
      </w:r>
    </w:p>
    <w:p w14:paraId="3B84FACF" w14:textId="61C2BEF9" w:rsidR="00CE0999" w:rsidRDefault="00CE0999" w:rsidP="0075760F">
      <w:pPr>
        <w:pStyle w:val="Normal"/>
        <w:tabs>
          <w:tab w:val="left" w:pos="4536"/>
          <w:tab w:val="left" w:pos="9072"/>
          <w:tab w:val="left" w:pos="13608"/>
        </w:tabs>
        <w:ind w:right="1870"/>
        <w:rPr>
          <w:sz w:val="22"/>
          <w:szCs w:val="22"/>
          <w:lang w:eastAsia="x-none"/>
        </w:rPr>
      </w:pPr>
    </w:p>
    <w:p w14:paraId="17DCC0A9" w14:textId="25C4439F" w:rsidR="00584964" w:rsidRDefault="00CC38B1" w:rsidP="0075760F">
      <w:pPr>
        <w:pStyle w:val="Normal"/>
        <w:tabs>
          <w:tab w:val="left" w:pos="4536"/>
          <w:tab w:val="left" w:pos="9072"/>
          <w:tab w:val="left" w:pos="13608"/>
        </w:tabs>
        <w:ind w:right="1870"/>
        <w:rPr>
          <w:sz w:val="20"/>
          <w:szCs w:val="20"/>
        </w:rPr>
      </w:pPr>
      <w:r>
        <w:rPr>
          <w:sz w:val="20"/>
          <w:szCs w:val="20"/>
        </w:rPr>
        <w:t>Dimension de coupe : …… mm</w:t>
      </w:r>
    </w:p>
    <w:p w14:paraId="4DBBFA63" w14:textId="77777777" w:rsidR="004C7A5A" w:rsidRDefault="00CE0999" w:rsidP="0075760F">
      <w:pPr>
        <w:pStyle w:val="Normal"/>
        <w:tabs>
          <w:tab w:val="left" w:pos="4536"/>
          <w:tab w:val="left" w:pos="9072"/>
          <w:tab w:val="left" w:pos="13608"/>
        </w:tabs>
        <w:ind w:right="1870"/>
        <w:rPr>
          <w:sz w:val="20"/>
          <w:szCs w:val="20"/>
        </w:rPr>
      </w:pPr>
      <w:r>
        <w:rPr>
          <w:sz w:val="20"/>
          <w:szCs w:val="20"/>
        </w:rPr>
        <w:t>Pliure : 5 pc.</w:t>
      </w:r>
    </w:p>
    <w:p w14:paraId="64338E2E" w14:textId="57114CCB" w:rsidR="00CE0999" w:rsidRDefault="00CE0999" w:rsidP="0075760F">
      <w:pPr>
        <w:pStyle w:val="Normal"/>
        <w:tabs>
          <w:tab w:val="left" w:pos="4536"/>
          <w:tab w:val="left" w:pos="9072"/>
          <w:tab w:val="left" w:pos="13608"/>
        </w:tabs>
        <w:ind w:right="1870"/>
        <w:rPr>
          <w:sz w:val="22"/>
          <w:szCs w:val="22"/>
          <w:lang w:eastAsia="x-none"/>
        </w:rPr>
      </w:pPr>
    </w:p>
    <w:p w14:paraId="0D56FF00" w14:textId="77777777" w:rsidR="004A0473" w:rsidRDefault="00CA2F86"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Comprend le matériel de fixation (fixation au moyen de chevilles si nécessaire) ainsi que l’étanchéification au moyen d’un mastic d’étanchéité à élasticité permanente, ainsi que la pose d’équerres de fixation dans le cas d’une isolation thermique extérieure (ITE).</w:t>
      </w:r>
    </w:p>
    <w:p w14:paraId="5D81621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344D0174" w14:textId="1483E290"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79CE3F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8E1A1B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0059647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01.07.42 Bande de solin brevetée</w:t>
      </w:r>
    </w:p>
    <w:p w14:paraId="7B8F9B3E" w14:textId="3305CB6A" w:rsidR="00E01BCD" w:rsidRDefault="00CE0999" w:rsidP="0075760F">
      <w:pPr>
        <w:tabs>
          <w:tab w:val="left" w:pos="9072"/>
          <w:tab w:val="left" w:pos="14160"/>
          <w:tab w:val="left" w:pos="15576"/>
          <w:tab w:val="left" w:pos="16992"/>
          <w:tab w:val="left" w:pos="18408"/>
          <w:tab w:val="left" w:pos="19824"/>
          <w:tab w:val="left" w:pos="21240"/>
        </w:tabs>
        <w:ind w:right="1870"/>
        <w:rPr>
          <w:rFonts w:ascii="Arial" w:eastAsia="Times New Roman" w:hAnsi="Arial" w:cs="Arial"/>
          <w:sz w:val="20"/>
          <w:szCs w:val="20"/>
        </w:rPr>
      </w:pPr>
      <w:r>
        <w:rPr>
          <w:rFonts w:ascii="Arial" w:hAnsi="Arial"/>
          <w:sz w:val="20"/>
          <w:szCs w:val="20"/>
        </w:rPr>
        <w:t>Livraison et pose de bandes de solin brevetées réalisées à partir de bandes complémentaires Prefalz ; inclut le matériel de fixation (fixation au moyen de chevilles si nécessaire), l’étanchéification au moyen d’un mastic d’étanchéité à élasticité permanente, ainsi que la pose d’équerres de fixation dans le cas d’une isolation thermique extérieure (ITE).</w:t>
      </w:r>
    </w:p>
    <w:p w14:paraId="27178D12" w14:textId="3A5F781C" w:rsidR="00CE0999" w:rsidRDefault="00CE0999" w:rsidP="0075760F">
      <w:pPr>
        <w:tabs>
          <w:tab w:val="left" w:pos="9072"/>
          <w:tab w:val="left" w:pos="14160"/>
          <w:tab w:val="left" w:pos="15576"/>
          <w:tab w:val="left" w:pos="16992"/>
          <w:tab w:val="left" w:pos="18408"/>
          <w:tab w:val="left" w:pos="19824"/>
          <w:tab w:val="left" w:pos="21240"/>
        </w:tabs>
        <w:ind w:right="1870"/>
        <w:rPr>
          <w:rFonts w:ascii="Arial" w:hAnsi="Arial" w:cs="Arial"/>
          <w:lang w:eastAsia="x-none"/>
        </w:rPr>
      </w:pPr>
    </w:p>
    <w:p w14:paraId="4D8BBB30" w14:textId="17A612AF" w:rsidR="00CE0999" w:rsidRDefault="00CE0999" w:rsidP="0075760F">
      <w:pPr>
        <w:tabs>
          <w:tab w:val="left" w:pos="9072"/>
          <w:tab w:val="left" w:pos="14160"/>
          <w:tab w:val="left" w:pos="15576"/>
          <w:tab w:val="left" w:pos="16992"/>
          <w:tab w:val="left" w:pos="18408"/>
          <w:tab w:val="left" w:pos="19824"/>
          <w:tab w:val="left" w:pos="21240"/>
        </w:tabs>
        <w:ind w:right="1870"/>
        <w:rPr>
          <w:rFonts w:ascii="Arial" w:hAnsi="Arial" w:cs="Arial"/>
          <w:sz w:val="20"/>
          <w:szCs w:val="20"/>
        </w:rPr>
      </w:pPr>
      <w:r>
        <w:rPr>
          <w:rFonts w:ascii="Arial" w:hAnsi="Arial"/>
          <w:sz w:val="20"/>
          <w:szCs w:val="20"/>
        </w:rPr>
        <w:t>Dimension de coupe : …… mm</w:t>
      </w:r>
    </w:p>
    <w:p w14:paraId="0498FD81" w14:textId="000BBDF2" w:rsidR="00CE0999" w:rsidRDefault="00CE0999" w:rsidP="0075760F">
      <w:pPr>
        <w:tabs>
          <w:tab w:val="left" w:pos="9072"/>
          <w:tab w:val="left" w:pos="14160"/>
          <w:tab w:val="left" w:pos="15576"/>
          <w:tab w:val="left" w:pos="16992"/>
          <w:tab w:val="left" w:pos="18408"/>
          <w:tab w:val="left" w:pos="19824"/>
          <w:tab w:val="left" w:pos="21240"/>
        </w:tabs>
        <w:ind w:right="1870"/>
        <w:rPr>
          <w:rFonts w:ascii="Arial" w:hAnsi="Arial" w:cs="Arial"/>
          <w:sz w:val="20"/>
          <w:szCs w:val="20"/>
        </w:rPr>
      </w:pPr>
      <w:r>
        <w:rPr>
          <w:rFonts w:ascii="Arial" w:hAnsi="Arial"/>
          <w:sz w:val="20"/>
          <w:szCs w:val="20"/>
        </w:rPr>
        <w:t>Pliure : 5 pc.</w:t>
      </w:r>
    </w:p>
    <w:p w14:paraId="7C41E1E7" w14:textId="5C95C24B" w:rsidR="00CE0999" w:rsidRDefault="00CE0999" w:rsidP="0075760F">
      <w:pPr>
        <w:tabs>
          <w:tab w:val="left" w:pos="9072"/>
          <w:tab w:val="left" w:pos="14160"/>
          <w:tab w:val="left" w:pos="15576"/>
          <w:tab w:val="left" w:pos="16992"/>
          <w:tab w:val="left" w:pos="18408"/>
          <w:tab w:val="left" w:pos="19824"/>
          <w:tab w:val="left" w:pos="21240"/>
        </w:tabs>
        <w:ind w:right="1870"/>
        <w:rPr>
          <w:rFonts w:ascii="Arial" w:hAnsi="Arial" w:cs="Arial"/>
          <w:sz w:val="20"/>
          <w:szCs w:val="20"/>
        </w:rPr>
      </w:pPr>
      <w:r>
        <w:rPr>
          <w:rFonts w:ascii="Arial" w:hAnsi="Arial"/>
          <w:sz w:val="20"/>
          <w:szCs w:val="20"/>
        </w:rPr>
        <w:t>Épaisseur du matériau : 0,70 mm</w:t>
      </w:r>
    </w:p>
    <w:p w14:paraId="068442EC" w14:textId="77777777" w:rsidR="00CE0999" w:rsidRDefault="00CE0999" w:rsidP="0075760F">
      <w:pPr>
        <w:tabs>
          <w:tab w:val="left" w:pos="9072"/>
          <w:tab w:val="left" w:pos="14160"/>
          <w:tab w:val="left" w:pos="15576"/>
          <w:tab w:val="left" w:pos="16992"/>
          <w:tab w:val="left" w:pos="18408"/>
          <w:tab w:val="left" w:pos="19824"/>
          <w:tab w:val="left" w:pos="21240"/>
        </w:tabs>
        <w:ind w:right="1870"/>
        <w:rPr>
          <w:rFonts w:ascii="Arial" w:eastAsia="Times New Roman" w:hAnsi="Arial" w:cs="Arial"/>
          <w:sz w:val="20"/>
          <w:szCs w:val="20"/>
        </w:rPr>
      </w:pPr>
      <w:r>
        <w:rPr>
          <w:rFonts w:ascii="Arial" w:hAnsi="Arial"/>
          <w:sz w:val="20"/>
          <w:szCs w:val="20"/>
        </w:rPr>
        <w:t>Qualité du matériau : identique au produit principal</w:t>
      </w:r>
    </w:p>
    <w:p w14:paraId="0EA9F21B"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28B9ACD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33709B6" w14:textId="268EFD09"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7629A28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64C113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79E4D9C"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01.07.43 Ouvrant de tabatière</w:t>
      </w:r>
    </w:p>
    <w:p w14:paraId="0CA309CA" w14:textId="1F3E646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d’ouvrants de tabatière pour combles et combles non chauffés ; fournis avec ferrures, cadre en bois et double vitrage en PVC translucide. Comprend l’ajustage à la couverture PREFA, la découpe de l’ouverture dans le voligeage intégral, ainsi que la fixation du châssis en bois. Respecter les directives de pose PREFA.</w:t>
      </w:r>
    </w:p>
    <w:p w14:paraId="65BB4A3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D1B3D41" w14:textId="0ABE347B"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600 × 600 mm (dimension intérieure)</w:t>
      </w:r>
    </w:p>
    <w:p w14:paraId="7909CA91" w14:textId="18913200"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Pentes de toit supérieures à 12° ; pour les pentes de toit inférieures à 12°, utiliser un châssis en bois trapézoïdal afin de compenser l’insuffisance d’inclinaison.</w:t>
      </w:r>
    </w:p>
    <w:p w14:paraId="53540DEB"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5AA6D65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E95C91D" w14:textId="5C0D5AD8"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pc.</w:t>
      </w:r>
      <w:r>
        <w:rPr>
          <w:sz w:val="20"/>
          <w:szCs w:val="20"/>
        </w:rPr>
        <w:tab/>
        <w:t>PU _____________  PT _____________</w:t>
      </w:r>
    </w:p>
    <w:p w14:paraId="4D79F65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AEC318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163688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01.07.44 Habillage de façade</w:t>
      </w:r>
    </w:p>
    <w:p w14:paraId="6C817005" w14:textId="32361F8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d’habillages de façade (pour les parties avant des bâtiments, les pignons et les lucarnes) ; comprend l’ajustage à la couverture PREFA ainsi que l’ensemble des solins et raccordements ; pour les joints angulaires Prefalz.</w:t>
      </w:r>
    </w:p>
    <w:p w14:paraId="3CB34EE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5E6BAB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3F963DF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0398408C" w14:textId="77777777" w:rsidR="004A0473" w:rsidRDefault="000F581A"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02F0DB6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435A85C" w14:textId="47E49FAA"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6D1CEBA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988861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32BFCB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01.07.45 Couronnement d’acrotère réalisé à partir de bandes complémentaires Prefalz</w:t>
      </w:r>
    </w:p>
    <w:p w14:paraId="70980908" w14:textId="558BE70F" w:rsidR="00CE0999" w:rsidRDefault="00CE0999" w:rsidP="0075760F">
      <w:pPr>
        <w:pStyle w:val="Normal"/>
        <w:tabs>
          <w:tab w:val="left" w:pos="4536"/>
          <w:tab w:val="left" w:pos="9072"/>
          <w:tab w:val="left" w:pos="13608"/>
        </w:tabs>
        <w:ind w:right="1870"/>
        <w:rPr>
          <w:sz w:val="22"/>
          <w:szCs w:val="22"/>
        </w:rPr>
      </w:pPr>
      <w:r>
        <w:rPr>
          <w:sz w:val="20"/>
          <w:szCs w:val="20"/>
        </w:rPr>
        <w:t>Livraison et pose de couronnements d’acrotère réalisés à partir de bandes complémentaires Prefalz ; fournis avec bandes d’accrochage (sur les deux côtés) et matériel de fixation. Chaque élément sera découpé en respectant la dimension de coupe requise ; leur longueur ne devra toutefois pas excéder 3000 mm.</w:t>
      </w:r>
    </w:p>
    <w:p w14:paraId="139F61EF" w14:textId="77777777" w:rsidR="00CE0999" w:rsidRDefault="00CE0999" w:rsidP="0075760F">
      <w:pPr>
        <w:pStyle w:val="Normal"/>
        <w:tabs>
          <w:tab w:val="left" w:pos="4536"/>
          <w:tab w:val="left" w:pos="9072"/>
          <w:tab w:val="left" w:pos="13608"/>
        </w:tabs>
        <w:ind w:right="1870"/>
        <w:rPr>
          <w:sz w:val="22"/>
          <w:szCs w:val="22"/>
          <w:lang w:eastAsia="x-none"/>
        </w:rPr>
      </w:pPr>
    </w:p>
    <w:p w14:paraId="647CC232" w14:textId="6F7D405F"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65FCC617" w14:textId="77777777" w:rsidR="004A0473" w:rsidRDefault="00CE0999" w:rsidP="0075760F">
      <w:pPr>
        <w:pStyle w:val="Normal"/>
        <w:tabs>
          <w:tab w:val="left" w:pos="4536"/>
          <w:tab w:val="left" w:pos="9072"/>
          <w:tab w:val="left" w:pos="13608"/>
        </w:tabs>
        <w:ind w:right="1870"/>
        <w:rPr>
          <w:sz w:val="20"/>
          <w:szCs w:val="20"/>
        </w:rPr>
      </w:pPr>
      <w:r>
        <w:rPr>
          <w:sz w:val="20"/>
          <w:szCs w:val="20"/>
        </w:rPr>
        <w:t>Pliure : … pc.</w:t>
      </w:r>
    </w:p>
    <w:p w14:paraId="3B3E2205" w14:textId="798B099D" w:rsidR="00CE0999" w:rsidRDefault="00CE0999" w:rsidP="0075760F">
      <w:pPr>
        <w:pStyle w:val="Normal"/>
        <w:tabs>
          <w:tab w:val="left" w:pos="4536"/>
          <w:tab w:val="left" w:pos="9072"/>
          <w:tab w:val="left" w:pos="13608"/>
        </w:tabs>
        <w:ind w:right="1870"/>
        <w:rPr>
          <w:sz w:val="20"/>
          <w:szCs w:val="20"/>
        </w:rPr>
      </w:pPr>
      <w:r>
        <w:rPr>
          <w:sz w:val="20"/>
          <w:szCs w:val="20"/>
        </w:rPr>
        <w:t>Épaisseur du matériau : 0,70 mm</w:t>
      </w:r>
    </w:p>
    <w:p w14:paraId="59ABEC89"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339E31FD" w14:textId="77777777" w:rsidR="00CE0999" w:rsidRDefault="00CE0999" w:rsidP="0075760F">
      <w:pPr>
        <w:pStyle w:val="Normal"/>
        <w:tabs>
          <w:tab w:val="left" w:pos="4536"/>
          <w:tab w:val="left" w:pos="9072"/>
          <w:tab w:val="left" w:pos="13608"/>
        </w:tabs>
        <w:ind w:right="1870"/>
        <w:rPr>
          <w:sz w:val="22"/>
          <w:szCs w:val="22"/>
        </w:rPr>
      </w:pPr>
      <w:r>
        <w:rPr>
          <w:sz w:val="20"/>
          <w:szCs w:val="20"/>
        </w:rPr>
        <w:t>Couleur : identique au produit principal</w:t>
      </w:r>
    </w:p>
    <w:p w14:paraId="56F0982A" w14:textId="77777777" w:rsidR="00CE0999" w:rsidRDefault="00CE0999" w:rsidP="0075760F">
      <w:pPr>
        <w:pStyle w:val="Normal"/>
        <w:tabs>
          <w:tab w:val="left" w:pos="4536"/>
          <w:tab w:val="left" w:pos="9072"/>
          <w:tab w:val="left" w:pos="13608"/>
        </w:tabs>
        <w:ind w:right="1870"/>
        <w:rPr>
          <w:sz w:val="22"/>
          <w:szCs w:val="22"/>
          <w:lang w:eastAsia="x-none"/>
        </w:rPr>
      </w:pPr>
    </w:p>
    <w:p w14:paraId="670A7A9E"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Types de raccordement : joint debout, pli d’accrochage, coulisseau ou support en tôle ondulée.</w:t>
      </w:r>
    </w:p>
    <w:p w14:paraId="4C11E69B"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Détails techniques : ……</w:t>
      </w:r>
    </w:p>
    <w:p w14:paraId="65C89A0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6D2B04FA" w14:textId="576EC54A"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lastRenderedPageBreak/>
        <w:t>0,000 m</w:t>
      </w:r>
      <w:r>
        <w:rPr>
          <w:sz w:val="20"/>
          <w:szCs w:val="20"/>
        </w:rPr>
        <w:tab/>
        <w:t>PU _____________  PT _____________</w:t>
      </w:r>
    </w:p>
    <w:p w14:paraId="5BCAEB7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2B73E8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0E431DE0"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01.07.46 Supplément pour acrotère arrondi (segments)</w:t>
      </w:r>
    </w:p>
    <w:p w14:paraId="3926AD47" w14:textId="453802F0" w:rsidR="004A0473" w:rsidRDefault="00071351"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Supplément appliqué à l’acrotère pour la mise en œuvre d’un acrotère arrondi composé de plusieurs segments.</w:t>
      </w:r>
    </w:p>
    <w:p w14:paraId="1BD240D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0312C91" w14:textId="681B30EE"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6C0DDC2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AC3CDE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459265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01.07.47 Couvertine de bordure de toit angulaire réalisée à partir de bandes complémentaires Prefalz</w:t>
      </w:r>
    </w:p>
    <w:p w14:paraId="4B40E064" w14:textId="74BE51E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couvertines de bordures de toit angulaires réalisées à partir de bandes complémentaires Prefalz ; fournies avec bandes de départ et matériel de fixation. Chaque élément sera découpé en respectant la dimension de coupe requise ; leur longueur ne devra toutefois pas excéder 3000 mm.</w:t>
      </w:r>
    </w:p>
    <w:p w14:paraId="12ED316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08BE992" w14:textId="1387895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028C5AA3" w14:textId="74202C8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5D7DD576" w14:textId="3C2D454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3F72FD3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01F3114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64EA389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E22A54B" w14:textId="52045E05"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0889DF5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C4AA97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A0157C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01.07.48 Bavette de corniches et bandeaux de façade réalisée à partir de bandes complémentaires Prefalz</w:t>
      </w:r>
    </w:p>
    <w:p w14:paraId="31CA43AE" w14:textId="4754C473" w:rsidR="00CE0999" w:rsidRDefault="00CE0999" w:rsidP="0075760F">
      <w:pPr>
        <w:pStyle w:val="Normal"/>
        <w:tabs>
          <w:tab w:val="left" w:pos="4536"/>
          <w:tab w:val="left" w:pos="9072"/>
          <w:tab w:val="left" w:pos="13608"/>
        </w:tabs>
        <w:ind w:right="1870"/>
        <w:rPr>
          <w:sz w:val="22"/>
          <w:szCs w:val="22"/>
        </w:rPr>
      </w:pPr>
      <w:r>
        <w:rPr>
          <w:sz w:val="20"/>
          <w:szCs w:val="20"/>
        </w:rPr>
        <w:t>Livraison et pose de bavettes de corniches et bandeaux de façade réalisées à partir de bandes complémentaires Prefalz ; fournies avec bandes de départ et matériel de fixation. Chaque élément sera découpé en respectant la dimension de coupe requise ; leur longueur ne devra toutefois pas excéder 3000 mm.</w:t>
      </w:r>
    </w:p>
    <w:p w14:paraId="37933A16" w14:textId="77777777" w:rsidR="00CE0999" w:rsidRDefault="00CE0999" w:rsidP="0075760F">
      <w:pPr>
        <w:pStyle w:val="Normal"/>
        <w:tabs>
          <w:tab w:val="left" w:pos="4536"/>
          <w:tab w:val="left" w:pos="9072"/>
          <w:tab w:val="left" w:pos="13608"/>
        </w:tabs>
        <w:ind w:right="1870"/>
        <w:rPr>
          <w:sz w:val="22"/>
          <w:szCs w:val="22"/>
          <w:lang w:eastAsia="x-none"/>
        </w:rPr>
      </w:pPr>
    </w:p>
    <w:p w14:paraId="26282999" w14:textId="0E4AC8D6"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6DD0909F" w14:textId="207964D2" w:rsidR="00CE0999" w:rsidRDefault="00CE0999" w:rsidP="0075760F">
      <w:pPr>
        <w:pStyle w:val="Normal"/>
        <w:tabs>
          <w:tab w:val="left" w:pos="4536"/>
          <w:tab w:val="left" w:pos="9072"/>
          <w:tab w:val="left" w:pos="13608"/>
        </w:tabs>
        <w:ind w:right="1870"/>
        <w:rPr>
          <w:sz w:val="20"/>
          <w:szCs w:val="20"/>
        </w:rPr>
      </w:pPr>
      <w:r>
        <w:rPr>
          <w:sz w:val="20"/>
          <w:szCs w:val="20"/>
        </w:rPr>
        <w:t>Pliure : … pc.</w:t>
      </w:r>
    </w:p>
    <w:p w14:paraId="75490CE2" w14:textId="49514859"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0,70 mm</w:t>
      </w:r>
    </w:p>
    <w:p w14:paraId="0E803450"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210F2D44"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5E48520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68F2A8CA" w14:textId="34FC5D91"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177EFB6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D80899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955A3FB" w14:textId="10F3144F"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01.07.49 Système pare-neige PREFA pour bandes complémentaires Prefalz (1 orifice pour tubes pare-neige)</w:t>
      </w:r>
    </w:p>
    <w:p w14:paraId="4AEE0E50" w14:textId="472B75D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systèmes pare-neige pour couvertures de toit réalisées avec des bandes complémentaires Prefalz. Le nombre et la disposition des systèmes pare-neige est définie sur la base des calculs statiques effectués. Respecter les directives de pose PREFA.</w:t>
      </w:r>
    </w:p>
    <w:p w14:paraId="29A7F41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B4C1F2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Bride de maintien : bride simple (pour un tube pare-neige)</w:t>
      </w:r>
    </w:p>
    <w:p w14:paraId="2254CEC0" w14:textId="20EFCA5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 xml:space="preserve">Orifice du pare-neige : 28 mm </w:t>
      </w:r>
      <w:r>
        <w:rPr>
          <w:rFonts w:ascii="Menlo Regular" w:hAnsi="Menlo Regular"/>
          <w:sz w:val="20"/>
          <w:szCs w:val="20"/>
        </w:rPr>
        <w:t>⌀</w:t>
      </w:r>
      <w:r>
        <w:rPr>
          <w:sz w:val="20"/>
          <w:szCs w:val="20"/>
        </w:rPr>
        <w:t>, 1 pc.</w:t>
      </w:r>
    </w:p>
    <w:p w14:paraId="2A8C6794" w14:textId="3F501503" w:rsidR="00CE0999" w:rsidRDefault="00A12C55"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Manchon de raccordement : 28 mm (diamètre intérieur), 100 mm (longueur)</w:t>
      </w:r>
    </w:p>
    <w:p w14:paraId="676E6BB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22701E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w:t>
      </w:r>
    </w:p>
    <w:p w14:paraId="7D7FE9A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Alliage : AlMgSi0,5</w:t>
      </w:r>
    </w:p>
    <w:p w14:paraId="0891E076"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Couleur : identique au produit principal</w:t>
      </w:r>
    </w:p>
    <w:p w14:paraId="5F5CCD3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65FD71B" w14:textId="63E1405E"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063948E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EAE161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55A5D0C" w14:textId="4B87FE72"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br w:type="page"/>
      </w:r>
      <w:r>
        <w:rPr>
          <w:b/>
          <w:bCs/>
          <w:sz w:val="20"/>
          <w:szCs w:val="20"/>
        </w:rPr>
        <w:lastRenderedPageBreak/>
        <w:t>01.07.50 Supplément — système pare-neige pour agrafes en biais (1 orifice pour tubes pare-neige)</w:t>
      </w:r>
    </w:p>
    <w:p w14:paraId="324A4083" w14:textId="579334B8" w:rsidR="00CE0999" w:rsidRDefault="00CE0999" w:rsidP="0075760F">
      <w:pPr>
        <w:pStyle w:val="Normal"/>
        <w:tabs>
          <w:tab w:val="left" w:pos="4536"/>
          <w:tab w:val="left" w:pos="9072"/>
          <w:tab w:val="left" w:pos="13608"/>
        </w:tabs>
        <w:ind w:right="1870"/>
        <w:rPr>
          <w:sz w:val="22"/>
          <w:szCs w:val="22"/>
        </w:rPr>
      </w:pPr>
      <w:r>
        <w:rPr>
          <w:sz w:val="20"/>
          <w:szCs w:val="20"/>
        </w:rPr>
        <w:t>Supplément pour système pare-neige installé en diagonale.</w:t>
      </w:r>
    </w:p>
    <w:p w14:paraId="6599C10C" w14:textId="77777777" w:rsidR="00CE0999" w:rsidRDefault="00CE0999" w:rsidP="0075760F">
      <w:pPr>
        <w:pStyle w:val="Normal"/>
        <w:tabs>
          <w:tab w:val="left" w:pos="4536"/>
          <w:tab w:val="left" w:pos="9072"/>
          <w:tab w:val="left" w:pos="13608"/>
        </w:tabs>
        <w:ind w:right="1870"/>
        <w:rPr>
          <w:sz w:val="22"/>
          <w:szCs w:val="22"/>
          <w:lang w:val="de-AT" w:eastAsia="de-AT"/>
        </w:rPr>
      </w:pPr>
    </w:p>
    <w:p w14:paraId="568FD2EF" w14:textId="1D69488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Bride de maintien : avec trous oblongs pour agrafe en biais, 1 orifice pour tubes pare-neige</w:t>
      </w:r>
    </w:p>
    <w:p w14:paraId="669BF20A" w14:textId="5DB7BB2A"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 xml:space="preserve">Orifice du pare-neige : 28 mm </w:t>
      </w:r>
      <w:r>
        <w:rPr>
          <w:rFonts w:ascii="Menlo Regular" w:hAnsi="Menlo Regular"/>
          <w:sz w:val="20"/>
          <w:szCs w:val="20"/>
        </w:rPr>
        <w:t>⌀</w:t>
      </w:r>
      <w:r>
        <w:rPr>
          <w:sz w:val="20"/>
          <w:szCs w:val="20"/>
        </w:rPr>
        <w:t>, 1 pc.</w:t>
      </w:r>
    </w:p>
    <w:p w14:paraId="07A153F6" w14:textId="66DFC9F4" w:rsidR="00CE0999" w:rsidRDefault="00A12C55" w:rsidP="0075760F">
      <w:pPr>
        <w:pStyle w:val="Normal"/>
        <w:tabs>
          <w:tab w:val="left" w:pos="4536"/>
          <w:tab w:val="left" w:pos="9072"/>
          <w:tab w:val="left" w:pos="13608"/>
        </w:tabs>
        <w:ind w:right="1870"/>
        <w:rPr>
          <w:sz w:val="22"/>
          <w:szCs w:val="22"/>
        </w:rPr>
      </w:pPr>
      <w:r>
        <w:rPr>
          <w:sz w:val="20"/>
          <w:szCs w:val="20"/>
        </w:rPr>
        <w:t>Manchon de raccordement : 28 mm (diamètre intérieur), 100 mm (longueur)</w:t>
      </w:r>
    </w:p>
    <w:p w14:paraId="531EAE2D" w14:textId="77777777" w:rsidR="00CE0999" w:rsidRDefault="00CE0999" w:rsidP="0075760F">
      <w:pPr>
        <w:pStyle w:val="Normal"/>
        <w:tabs>
          <w:tab w:val="left" w:pos="4536"/>
          <w:tab w:val="left" w:pos="9072"/>
          <w:tab w:val="left" w:pos="13608"/>
        </w:tabs>
        <w:ind w:right="1870"/>
        <w:rPr>
          <w:sz w:val="22"/>
          <w:szCs w:val="22"/>
          <w:lang w:eastAsia="x-none"/>
        </w:rPr>
      </w:pPr>
    </w:p>
    <w:p w14:paraId="5B0CDBD3" w14:textId="77777777" w:rsidR="00CE0999" w:rsidRDefault="00CE0999" w:rsidP="0075760F">
      <w:pPr>
        <w:pStyle w:val="Normal"/>
        <w:tabs>
          <w:tab w:val="left" w:pos="4536"/>
          <w:tab w:val="left" w:pos="9072"/>
          <w:tab w:val="left" w:pos="13608"/>
        </w:tabs>
        <w:ind w:right="1870"/>
        <w:rPr>
          <w:sz w:val="20"/>
          <w:szCs w:val="20"/>
        </w:rPr>
      </w:pPr>
      <w:r>
        <w:rPr>
          <w:sz w:val="20"/>
          <w:szCs w:val="20"/>
        </w:rPr>
        <w:t>Matériau : aluminium</w:t>
      </w:r>
    </w:p>
    <w:p w14:paraId="175A0193" w14:textId="77777777" w:rsidR="00CE0999" w:rsidRDefault="00CE0999" w:rsidP="0075760F">
      <w:pPr>
        <w:pStyle w:val="Normal"/>
        <w:tabs>
          <w:tab w:val="left" w:pos="4536"/>
          <w:tab w:val="left" w:pos="9072"/>
          <w:tab w:val="left" w:pos="13608"/>
        </w:tabs>
        <w:ind w:right="1870"/>
        <w:rPr>
          <w:sz w:val="20"/>
          <w:szCs w:val="20"/>
        </w:rPr>
      </w:pPr>
      <w:r>
        <w:rPr>
          <w:sz w:val="20"/>
          <w:szCs w:val="20"/>
        </w:rPr>
        <w:t>Alliage : AlMgSi0,5</w:t>
      </w:r>
    </w:p>
    <w:p w14:paraId="2842593D"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Couleur : identique au produit principal</w:t>
      </w:r>
    </w:p>
    <w:p w14:paraId="1466387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1171132" w14:textId="6F90208A"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3091667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5144A9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8D94113" w14:textId="55E2F364"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01.07.51 Système pare-neige PREFA pour bandes complémentaires Prefalz (2 orifices pour tubes pare-neige)</w:t>
      </w:r>
    </w:p>
    <w:p w14:paraId="5D0DFE8E" w14:textId="067DF2D3" w:rsidR="00CE0999" w:rsidRDefault="00CE0999" w:rsidP="0075760F">
      <w:pPr>
        <w:pStyle w:val="Normal"/>
        <w:tabs>
          <w:tab w:val="left" w:pos="4536"/>
          <w:tab w:val="left" w:pos="9072"/>
          <w:tab w:val="left" w:pos="13608"/>
        </w:tabs>
        <w:ind w:right="1870"/>
        <w:rPr>
          <w:sz w:val="22"/>
          <w:szCs w:val="22"/>
        </w:rPr>
      </w:pPr>
      <w:r>
        <w:rPr>
          <w:sz w:val="20"/>
          <w:szCs w:val="20"/>
        </w:rPr>
        <w:t>Livraison et pose de systèmes pare-neige pour couvertures de toit réalisées avec des bandes complémentaires Prefalz. Le nombre et la disposition des systèmes pare-neige est définie sur la base des calculs statiques effectués. Respecter les directives de pose PREFA.</w:t>
      </w:r>
    </w:p>
    <w:p w14:paraId="7CEB6686" w14:textId="77777777" w:rsidR="00CE0999" w:rsidRDefault="00CE0999" w:rsidP="0075760F">
      <w:pPr>
        <w:pStyle w:val="Normal"/>
        <w:tabs>
          <w:tab w:val="left" w:pos="4536"/>
          <w:tab w:val="left" w:pos="9072"/>
          <w:tab w:val="left" w:pos="13608"/>
        </w:tabs>
        <w:ind w:right="1870"/>
        <w:rPr>
          <w:sz w:val="22"/>
          <w:szCs w:val="22"/>
          <w:lang w:eastAsia="x-none"/>
        </w:rPr>
      </w:pPr>
    </w:p>
    <w:p w14:paraId="6BA5578D" w14:textId="77777777" w:rsidR="00C57495" w:rsidRDefault="00CE0999" w:rsidP="0075760F">
      <w:pPr>
        <w:pStyle w:val="Normal"/>
        <w:tabs>
          <w:tab w:val="left" w:pos="4536"/>
          <w:tab w:val="left" w:pos="9072"/>
          <w:tab w:val="left" w:pos="13608"/>
        </w:tabs>
        <w:ind w:right="1870"/>
        <w:rPr>
          <w:sz w:val="20"/>
          <w:szCs w:val="20"/>
        </w:rPr>
      </w:pPr>
      <w:r>
        <w:rPr>
          <w:sz w:val="20"/>
          <w:szCs w:val="20"/>
        </w:rPr>
        <w:t>Bride de maintien : bride double (pour deux tubes pare-neige)</w:t>
      </w:r>
    </w:p>
    <w:p w14:paraId="560A43EB" w14:textId="36AB43F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 xml:space="preserve">Orifice du pare-neige : 28 mm </w:t>
      </w:r>
      <w:r>
        <w:rPr>
          <w:rFonts w:ascii="Menlo Regular" w:hAnsi="Menlo Regular"/>
          <w:sz w:val="20"/>
          <w:szCs w:val="20"/>
        </w:rPr>
        <w:t>⌀</w:t>
      </w:r>
      <w:r>
        <w:rPr>
          <w:sz w:val="20"/>
          <w:szCs w:val="20"/>
        </w:rPr>
        <w:t>, 1 pc.</w:t>
      </w:r>
    </w:p>
    <w:p w14:paraId="62DC661C" w14:textId="478C4079" w:rsidR="00CE0999" w:rsidRDefault="00A12C55" w:rsidP="0075760F">
      <w:pPr>
        <w:pStyle w:val="Normal"/>
        <w:tabs>
          <w:tab w:val="left" w:pos="4536"/>
          <w:tab w:val="left" w:pos="9072"/>
          <w:tab w:val="left" w:pos="13608"/>
        </w:tabs>
        <w:ind w:right="1870"/>
        <w:rPr>
          <w:sz w:val="22"/>
          <w:szCs w:val="22"/>
        </w:rPr>
      </w:pPr>
      <w:r>
        <w:rPr>
          <w:sz w:val="20"/>
          <w:szCs w:val="20"/>
        </w:rPr>
        <w:t>Manchon de raccordement : 28 mm (diamètre intérieur), 100 mm (longueur)</w:t>
      </w:r>
    </w:p>
    <w:p w14:paraId="3C4634E9" w14:textId="77777777" w:rsidR="00CE0999" w:rsidRDefault="00CE0999" w:rsidP="0075760F">
      <w:pPr>
        <w:pStyle w:val="Normal"/>
        <w:tabs>
          <w:tab w:val="left" w:pos="4536"/>
          <w:tab w:val="left" w:pos="9072"/>
          <w:tab w:val="left" w:pos="13608"/>
        </w:tabs>
        <w:ind w:right="1870"/>
        <w:rPr>
          <w:sz w:val="22"/>
          <w:szCs w:val="22"/>
          <w:lang w:eastAsia="x-none"/>
        </w:rPr>
      </w:pPr>
    </w:p>
    <w:p w14:paraId="6C68A855" w14:textId="77777777" w:rsidR="00CE0999" w:rsidRDefault="00CE0999" w:rsidP="0075760F">
      <w:pPr>
        <w:pStyle w:val="Normal"/>
        <w:tabs>
          <w:tab w:val="left" w:pos="4536"/>
          <w:tab w:val="left" w:pos="9072"/>
          <w:tab w:val="left" w:pos="13608"/>
        </w:tabs>
        <w:ind w:right="1870"/>
        <w:rPr>
          <w:sz w:val="20"/>
          <w:szCs w:val="20"/>
        </w:rPr>
      </w:pPr>
      <w:r>
        <w:rPr>
          <w:sz w:val="20"/>
          <w:szCs w:val="20"/>
        </w:rPr>
        <w:t>Matériau : aluminium</w:t>
      </w:r>
    </w:p>
    <w:p w14:paraId="060EAEFB" w14:textId="77777777" w:rsidR="00CE0999" w:rsidRDefault="00CE0999" w:rsidP="0075760F">
      <w:pPr>
        <w:pStyle w:val="Normal"/>
        <w:tabs>
          <w:tab w:val="left" w:pos="4536"/>
          <w:tab w:val="left" w:pos="9072"/>
          <w:tab w:val="left" w:pos="13608"/>
        </w:tabs>
        <w:ind w:right="1870"/>
        <w:rPr>
          <w:sz w:val="20"/>
          <w:szCs w:val="20"/>
        </w:rPr>
      </w:pPr>
      <w:r>
        <w:rPr>
          <w:sz w:val="20"/>
          <w:szCs w:val="20"/>
        </w:rPr>
        <w:t>Alliage : AlMgSi0,5</w:t>
      </w:r>
    </w:p>
    <w:p w14:paraId="398F6C9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Couleur : identique au produit principal</w:t>
      </w:r>
    </w:p>
    <w:p w14:paraId="4E44DDA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DCE1159" w14:textId="547D5BCD"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2F732F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06C1B6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0DAE009"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01.07.52 Supplément — pour crochets à glace PREFA (système pare-neige)</w:t>
      </w:r>
    </w:p>
    <w:p w14:paraId="5DA93D8D" w14:textId="6E6341A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Supplément pour crochets à glace PREFA (systèmes pare-neige) ; 2 crochets par bac.</w:t>
      </w:r>
    </w:p>
    <w:p w14:paraId="40AB261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1BFBFFB"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Couleur : identique au produit principal</w:t>
      </w:r>
    </w:p>
    <w:p w14:paraId="1434ED6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FEDE564" w14:textId="39FAA2D0"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D85685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2014B4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BAC9C2A" w14:textId="10A38AE2"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01.07.53 Point d’ancrage unique PREFA</w:t>
      </w:r>
    </w:p>
    <w:p w14:paraId="735E3EAA" w14:textId="56B1523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points d’ancrage uniques PREFA (équipements de protection contre les chutes) ; conformes à la norme EN 795 ; autorisés pour deux personnes ; les point d’ancrage sont fixés directement sur joints debout à double agrafe. Respecter les directives de pose PREFA.</w:t>
      </w:r>
    </w:p>
    <w:p w14:paraId="0196E67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514FE16" w14:textId="3875DE9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Les points d’ancrage unique sont conçus et disposés conformément à la réglementation relative à la prévention des accidents en vigueur dans chaque pays et aux exigences spécifiques posées par chacun des bâtiments.</w:t>
      </w:r>
    </w:p>
    <w:p w14:paraId="6164601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2C65BD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 / acier inoxydable</w:t>
      </w:r>
    </w:p>
    <w:p w14:paraId="293D9AEA"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Couleur : aluminium naturel</w:t>
      </w:r>
    </w:p>
    <w:p w14:paraId="3B6CBCD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89441CE" w14:textId="6945DD74" w:rsidR="00CE0999" w:rsidRPr="00D00994"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pc.</w:t>
      </w:r>
      <w:r>
        <w:rPr>
          <w:sz w:val="20"/>
          <w:szCs w:val="20"/>
        </w:rPr>
        <w:tab/>
        <w:t>PU _____________  PT _____________</w:t>
      </w:r>
    </w:p>
    <w:p w14:paraId="5595D9B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val="en-US" w:eastAsia="x-none"/>
        </w:rPr>
      </w:pPr>
    </w:p>
    <w:p w14:paraId="70CE88F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val="en-US" w:eastAsia="x-none"/>
        </w:rPr>
      </w:pPr>
    </w:p>
    <w:p w14:paraId="4268B05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br w:type="page"/>
      </w:r>
      <w:r>
        <w:rPr>
          <w:b/>
          <w:bCs/>
          <w:sz w:val="20"/>
          <w:szCs w:val="20"/>
        </w:rPr>
        <w:lastRenderedPageBreak/>
        <w:t>01.07.54 Support de panneau solaire Sunny</w:t>
      </w:r>
    </w:p>
    <w:p w14:paraId="05305A45" w14:textId="3E684D4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supports de panneaux solaires Sunny destinés à la fixation de panneaux solaires sur les toitures PREFA. Fournis avec le kit d’assemblage PREFA pour l’assemblage du capuchon de protection. Le nombre des supports solaires et la distance qui les sépare sont définis sur la base des calculs statiques effectués. Pose d’une plaque de support si nécessaire. Respecter les directives de pose PREFA.</w:t>
      </w:r>
    </w:p>
    <w:p w14:paraId="2B03BC7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962124C" w14:textId="38BBCD0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Vis de fixation : STS M12 350 mm, aluminium naturel</w:t>
      </w:r>
    </w:p>
    <w:p w14:paraId="384BD160"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Capuchon de protection : gris de zinc, revêtement thermolaqué, aluminium de 1,20 mm</w:t>
      </w:r>
    </w:p>
    <w:p w14:paraId="4FAC243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77C51D0" w14:textId="13C4E266"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pc.</w:t>
      </w:r>
      <w:r>
        <w:rPr>
          <w:sz w:val="20"/>
          <w:szCs w:val="20"/>
        </w:rPr>
        <w:tab/>
        <w:t>PU _____________  PT _____________</w:t>
      </w:r>
    </w:p>
    <w:p w14:paraId="19F74C9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F42368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72D942A"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01.07.55 Chemin de circulation PREFA pour les couvertures Prefalz à joints debout à double agrafe</w:t>
      </w:r>
    </w:p>
    <w:p w14:paraId="72085A72" w14:textId="6A33255F" w:rsidR="00CE0999" w:rsidRDefault="00CE0999" w:rsidP="0075760F">
      <w:pPr>
        <w:pStyle w:val="Normal"/>
        <w:tabs>
          <w:tab w:val="left" w:pos="4536"/>
          <w:tab w:val="left" w:pos="9072"/>
          <w:tab w:val="left" w:pos="13608"/>
        </w:tabs>
        <w:ind w:right="1870"/>
        <w:rPr>
          <w:sz w:val="22"/>
          <w:szCs w:val="22"/>
        </w:rPr>
      </w:pPr>
      <w:r>
        <w:rPr>
          <w:sz w:val="20"/>
          <w:szCs w:val="20"/>
        </w:rPr>
        <w:t>Livraison et pose de chemins de circulation PREFA ; les supports sont fixés directement sur joints debout à double agrafe ; matériel de fixation compris. Respecter les directives de pose PREFA.</w:t>
      </w:r>
    </w:p>
    <w:p w14:paraId="4582CECF" w14:textId="77777777" w:rsidR="00CE0999" w:rsidRDefault="00CE0999" w:rsidP="0075760F">
      <w:pPr>
        <w:pStyle w:val="Normal"/>
        <w:tabs>
          <w:tab w:val="left" w:pos="4536"/>
          <w:tab w:val="left" w:pos="9072"/>
          <w:tab w:val="left" w:pos="13608"/>
        </w:tabs>
        <w:ind w:right="1870"/>
        <w:rPr>
          <w:sz w:val="22"/>
          <w:szCs w:val="22"/>
          <w:lang w:eastAsia="x-none"/>
        </w:rPr>
      </w:pPr>
    </w:p>
    <w:p w14:paraId="4644BDBB" w14:textId="0F84633F"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Support de chemin de circulation : 250 mm (écartement entre les supports : max. 900 mm) ; inclinaison réglable pour pentes de toits comprises entre 5° et 55°.</w:t>
      </w:r>
    </w:p>
    <w:p w14:paraId="562F834D" w14:textId="44DD75C4"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Chemin de circulation : 250 × 600/800/1200 mm ; avec matériel de fixation et éléments d’assemblage pour chemins de circulation.</w:t>
      </w:r>
    </w:p>
    <w:p w14:paraId="77CD0F0A"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Matériau : acier galvanisé, revêtement thermolaqué</w:t>
      </w:r>
    </w:p>
    <w:p w14:paraId="3CAFFFD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46F6C30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50D3869" w14:textId="4481B4AA"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03A4E14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7630C5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7E98FA3"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01.07.56 Supports de chemins de circulation PREFA pour couvertures Prefalz</w:t>
      </w:r>
    </w:p>
    <w:p w14:paraId="51AF51C8" w14:textId="5DDCBA72" w:rsidR="00CE0999" w:rsidRDefault="00CE0999" w:rsidP="0075760F">
      <w:pPr>
        <w:pStyle w:val="Normal"/>
        <w:tabs>
          <w:tab w:val="left" w:pos="4536"/>
          <w:tab w:val="left" w:pos="9072"/>
          <w:tab w:val="left" w:pos="13608"/>
        </w:tabs>
        <w:ind w:right="1870"/>
        <w:rPr>
          <w:sz w:val="22"/>
          <w:szCs w:val="22"/>
        </w:rPr>
      </w:pPr>
      <w:r>
        <w:rPr>
          <w:sz w:val="20"/>
          <w:szCs w:val="20"/>
        </w:rPr>
        <w:t>Livraison et pose de supports de chemins de circulation PREFA ; les supports sont fixés directement sur joints debout à double agrafe ; matériel de fixation compris. Respecter les directives de pose PREFA.</w:t>
      </w:r>
    </w:p>
    <w:p w14:paraId="4DE13E85" w14:textId="77777777" w:rsidR="00CE0999" w:rsidRDefault="00CE0999" w:rsidP="0075760F">
      <w:pPr>
        <w:pStyle w:val="Normal"/>
        <w:tabs>
          <w:tab w:val="left" w:pos="4536"/>
          <w:tab w:val="left" w:pos="9072"/>
          <w:tab w:val="left" w:pos="13608"/>
        </w:tabs>
        <w:ind w:right="1870"/>
        <w:rPr>
          <w:sz w:val="22"/>
          <w:szCs w:val="22"/>
          <w:lang w:eastAsia="x-none"/>
        </w:rPr>
      </w:pPr>
    </w:p>
    <w:p w14:paraId="55285E7D" w14:textId="03785C9E"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Support de chemin de circulation : deux éléments de 250 mm (écartement entre les supports : max. 900 mm) ; inclinaison réglable pour pentes de toits comprises entre 5° et 55°.</w:t>
      </w:r>
    </w:p>
    <w:p w14:paraId="08BDCA04" w14:textId="6B64278A"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Chemin de circulation : 250 × 600/800 mm ; avec matériel de fixation.</w:t>
      </w:r>
    </w:p>
    <w:p w14:paraId="73FB9E71"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Matériau : acier galvanisé, revêtement thermolaqué</w:t>
      </w:r>
    </w:p>
    <w:p w14:paraId="49E67111"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288C708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3B5C6962" w14:textId="04A615E6"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pc.</w:t>
      </w:r>
      <w:r>
        <w:rPr>
          <w:sz w:val="20"/>
          <w:szCs w:val="20"/>
        </w:rPr>
        <w:tab/>
        <w:t>PU _____________  PT _____________</w:t>
      </w:r>
    </w:p>
    <w:p w14:paraId="2EC6566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9ED28A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5090DCA"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01.07.57 Mise en œuvre d’un élément de toiture conique</w:t>
      </w:r>
    </w:p>
    <w:p w14:paraId="63FE9CE4" w14:textId="6A3C43FC" w:rsidR="00CE0999" w:rsidRDefault="00CE0999" w:rsidP="0075760F">
      <w:pPr>
        <w:pStyle w:val="Normal"/>
        <w:tabs>
          <w:tab w:val="left" w:pos="4536"/>
          <w:tab w:val="left" w:pos="9072"/>
          <w:tab w:val="left" w:pos="13608"/>
        </w:tabs>
        <w:ind w:right="1870"/>
        <w:rPr>
          <w:sz w:val="22"/>
          <w:szCs w:val="22"/>
        </w:rPr>
      </w:pPr>
      <w:r>
        <w:rPr>
          <w:sz w:val="20"/>
          <w:szCs w:val="20"/>
        </w:rPr>
        <w:t>Livraison et pose d’un élément de toiture conique réalisé à partir de bandes complémentaires Prefalz ; avec matériel de fixation et ajustage à la couverture PREFA.</w:t>
      </w:r>
    </w:p>
    <w:p w14:paraId="39D5B025" w14:textId="77777777" w:rsidR="00CE0999" w:rsidRDefault="00CE0999" w:rsidP="0075760F">
      <w:pPr>
        <w:pStyle w:val="Normal"/>
        <w:tabs>
          <w:tab w:val="left" w:pos="4536"/>
          <w:tab w:val="left" w:pos="9072"/>
          <w:tab w:val="left" w:pos="13608"/>
        </w:tabs>
        <w:ind w:right="1870"/>
        <w:rPr>
          <w:sz w:val="22"/>
          <w:szCs w:val="22"/>
          <w:lang w:eastAsia="x-none"/>
        </w:rPr>
      </w:pPr>
    </w:p>
    <w:p w14:paraId="55D342B2" w14:textId="6C3A5F9B" w:rsidR="00CE0999" w:rsidRDefault="00CE0999" w:rsidP="0075760F">
      <w:pPr>
        <w:pStyle w:val="Normal"/>
        <w:tabs>
          <w:tab w:val="left" w:pos="4536"/>
          <w:tab w:val="left" w:pos="9072"/>
          <w:tab w:val="left" w:pos="13608"/>
        </w:tabs>
        <w:ind w:right="1870"/>
        <w:rPr>
          <w:sz w:val="20"/>
          <w:szCs w:val="20"/>
        </w:rPr>
      </w:pPr>
      <w:r>
        <w:rPr>
          <w:sz w:val="20"/>
          <w:szCs w:val="20"/>
        </w:rPr>
        <w:t>Rayon : …</w:t>
      </w:r>
    </w:p>
    <w:p w14:paraId="24B29CE7" w14:textId="77777777" w:rsidR="00CE0999" w:rsidRDefault="00CE0999" w:rsidP="0075760F">
      <w:pPr>
        <w:pStyle w:val="Normal"/>
        <w:tabs>
          <w:tab w:val="left" w:pos="4536"/>
          <w:tab w:val="left" w:pos="9072"/>
          <w:tab w:val="left" w:pos="13608"/>
        </w:tabs>
        <w:ind w:right="1870"/>
        <w:rPr>
          <w:sz w:val="20"/>
          <w:szCs w:val="20"/>
        </w:rPr>
      </w:pPr>
      <w:r>
        <w:rPr>
          <w:sz w:val="20"/>
          <w:szCs w:val="20"/>
        </w:rPr>
        <w:t>Épaisseur du matériau : identique au produit principal</w:t>
      </w:r>
    </w:p>
    <w:p w14:paraId="733A1585"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165873B9"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Couleur : identique au produit principal</w:t>
      </w:r>
    </w:p>
    <w:p w14:paraId="6762BFC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5264BE8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350EB5F9" w14:textId="6BA51320"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pc.</w:t>
      </w:r>
      <w:r>
        <w:rPr>
          <w:sz w:val="20"/>
          <w:szCs w:val="20"/>
        </w:rPr>
        <w:tab/>
        <w:t>PU _____________  PT _____________</w:t>
      </w:r>
    </w:p>
    <w:p w14:paraId="7DEE8E4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3D4DA9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8328A04"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01.07.58 Facturation en régie — Nombre d’heures d’ouvriers qualifiés</w:t>
      </w:r>
    </w:p>
    <w:p w14:paraId="03E7EC8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Facturation en régie — Nombre d’heures d’ouvriers qualifiés</w:t>
      </w:r>
    </w:p>
    <w:p w14:paraId="736AE4E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D10BFE3" w14:textId="176AD80C"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h</w:t>
      </w:r>
      <w:r>
        <w:rPr>
          <w:sz w:val="20"/>
          <w:szCs w:val="20"/>
        </w:rPr>
        <w:tab/>
        <w:t>PU _____________  PT _____________</w:t>
      </w:r>
    </w:p>
    <w:p w14:paraId="66DCE35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30A3DA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92AE45D"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01.07.59 Facturation en régie — Nombre d’heures de manœuvres</w:t>
      </w:r>
    </w:p>
    <w:p w14:paraId="4C2BD5F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Facturation en régie — Nombre d’heures de manœuvres</w:t>
      </w:r>
    </w:p>
    <w:p w14:paraId="48BB765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DE6C7C7" w14:textId="0175EC20"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h</w:t>
      </w:r>
      <w:r>
        <w:rPr>
          <w:sz w:val="20"/>
          <w:szCs w:val="20"/>
        </w:rPr>
        <w:tab/>
        <w:t>PU _____________  PT _____________</w:t>
      </w:r>
    </w:p>
    <w:p w14:paraId="5AB8924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5D03BA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jc w:val="right"/>
        <w:rPr>
          <w:sz w:val="22"/>
          <w:szCs w:val="22"/>
          <w:lang w:eastAsia="x-none"/>
        </w:rPr>
      </w:pPr>
    </w:p>
    <w:p w14:paraId="797D6CB0" w14:textId="6BDEE2C1" w:rsidR="00CE0999" w:rsidRDefault="006F4832" w:rsidP="0075760F">
      <w:pPr>
        <w:pStyle w:val="Normal"/>
        <w:tabs>
          <w:tab w:val="left" w:pos="4025"/>
          <w:tab w:val="left" w:pos="10206"/>
          <w:tab w:val="left" w:pos="11340"/>
          <w:tab w:val="left" w:pos="12474"/>
          <w:tab w:val="left" w:pos="13608"/>
          <w:tab w:val="left" w:pos="14742"/>
          <w:tab w:val="left" w:pos="15876"/>
        </w:tabs>
        <w:ind w:right="1870"/>
        <w:jc w:val="right"/>
        <w:rPr>
          <w:b/>
          <w:bCs/>
          <w:sz w:val="22"/>
          <w:szCs w:val="22"/>
        </w:rPr>
      </w:pPr>
      <w:r>
        <w:rPr>
          <w:b/>
          <w:bCs/>
          <w:sz w:val="22"/>
          <w:szCs w:val="22"/>
        </w:rPr>
        <w:t>Titre 01.07 Joint debout à double agrafe en bande d’aluminium Prefalz  PT ____________</w:t>
      </w:r>
    </w:p>
    <w:p w14:paraId="5BBF94CC" w14:textId="130DA08F"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b/>
          <w:bCs/>
          <w:sz w:val="22"/>
          <w:szCs w:val="22"/>
        </w:rPr>
      </w:pPr>
      <w:r>
        <w:br w:type="page"/>
      </w:r>
      <w:r>
        <w:rPr>
          <w:b/>
          <w:bCs/>
          <w:sz w:val="22"/>
          <w:szCs w:val="22"/>
        </w:rPr>
        <w:lastRenderedPageBreak/>
        <w:t>  </w:t>
      </w:r>
    </w:p>
    <w:p w14:paraId="5FBC2F7F" w14:textId="77777777" w:rsidR="00CE0999" w:rsidRPr="00D00994" w:rsidRDefault="00CE0999" w:rsidP="0075760F">
      <w:pPr>
        <w:pStyle w:val="Normal"/>
        <w:tabs>
          <w:tab w:val="left" w:pos="4025"/>
          <w:tab w:val="left" w:pos="10206"/>
          <w:tab w:val="left" w:pos="11340"/>
          <w:tab w:val="left" w:pos="12474"/>
          <w:tab w:val="left" w:pos="13608"/>
          <w:tab w:val="left" w:pos="14742"/>
          <w:tab w:val="left" w:pos="15876"/>
        </w:tabs>
        <w:ind w:right="1870"/>
        <w:rPr>
          <w:b/>
          <w:bCs/>
          <w:sz w:val="28"/>
          <w:szCs w:val="28"/>
        </w:rPr>
      </w:pPr>
      <w:r>
        <w:rPr>
          <w:b/>
          <w:bCs/>
          <w:sz w:val="28"/>
          <w:szCs w:val="28"/>
        </w:rPr>
        <w:t>Récapitulatif</w:t>
      </w:r>
    </w:p>
    <w:p w14:paraId="508D66A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F76C428"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sz w:val="22"/>
          <w:szCs w:val="22"/>
        </w:rPr>
      </w:pPr>
      <w:r>
        <w:rPr>
          <w:sz w:val="22"/>
          <w:szCs w:val="22"/>
        </w:rPr>
        <w:t>Titre 01.07 Joint debout à double agrafe en bande d’aluminium Prefalz</w:t>
      </w:r>
    </w:p>
    <w:p w14:paraId="0FCF2222" w14:textId="5BA837EF"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sz w:val="20"/>
          <w:szCs w:val="20"/>
        </w:rPr>
      </w:pPr>
      <w:r>
        <w:rPr>
          <w:sz w:val="20"/>
          <w:szCs w:val="20"/>
        </w:rPr>
        <w:t>PT _____________</w:t>
      </w:r>
    </w:p>
    <w:p w14:paraId="6A5027C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65CCA73"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rPr>
      </w:pPr>
      <w:r>
        <w:rPr>
          <w:b/>
          <w:bCs/>
        </w:rPr>
        <w:t>LV 01 Toitures PREFA</w:t>
      </w:r>
    </w:p>
    <w:p w14:paraId="16EBA60D" w14:textId="20137ADA"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b/>
          <w:bCs/>
        </w:rPr>
      </w:pPr>
      <w:r>
        <w:rPr>
          <w:b/>
          <w:bCs/>
        </w:rPr>
        <w:t>PT __________</w:t>
      </w:r>
    </w:p>
    <w:p w14:paraId="694E0BCC" w14:textId="77777777" w:rsidR="00CE0999" w:rsidRDefault="00CE0999" w:rsidP="0075760F">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lang w:eastAsia="x-none"/>
        </w:rPr>
      </w:pPr>
    </w:p>
    <w:p w14:paraId="72279175" w14:textId="77777777" w:rsidR="00CE0999" w:rsidRPr="00B45879" w:rsidRDefault="00CE0999" w:rsidP="0075760F"/>
    <w:p w14:paraId="60BFF541" w14:textId="77777777" w:rsidR="00CE0999" w:rsidRPr="00324BF8" w:rsidRDefault="00CE0999" w:rsidP="0075760F"/>
    <w:p w14:paraId="3F30A26B" w14:textId="77777777" w:rsidR="009D5B78" w:rsidRDefault="009D5B78"/>
    <w:sectPr w:rsidR="009D5B78" w:rsidSect="00D977D2">
      <w:headerReference w:type="even" r:id="rId7"/>
      <w:headerReference w:type="default" r:id="rId8"/>
      <w:footerReference w:type="even" r:id="rId9"/>
      <w:footerReference w:type="default" r:id="rId10"/>
      <w:headerReference w:type="first" r:id="rId11"/>
      <w:footerReference w:type="first" r:id="rId12"/>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70AF4" w14:textId="77777777" w:rsidR="004439A6" w:rsidRDefault="004439A6" w:rsidP="00D977D2">
      <w:r>
        <w:separator/>
      </w:r>
    </w:p>
  </w:endnote>
  <w:endnote w:type="continuationSeparator" w:id="0">
    <w:p w14:paraId="551D51B1" w14:textId="77777777" w:rsidR="004439A6" w:rsidRDefault="004439A6" w:rsidP="00D9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B3FC3" w14:textId="77777777" w:rsidR="00765B53" w:rsidRDefault="00765B5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56C5" w14:textId="77777777" w:rsidR="004439A6" w:rsidRDefault="004439A6" w:rsidP="00D977D2">
    <w:pPr>
      <w:spacing w:after="200" w:line="276" w:lineRule="auto"/>
    </w:pPr>
  </w:p>
  <w:p w14:paraId="585CB42F" w14:textId="77777777" w:rsidR="004439A6" w:rsidRPr="00D977D2" w:rsidRDefault="004439A6" w:rsidP="0075760F">
    <w:pPr>
      <w:rPr>
        <w:rFonts w:asciiTheme="majorHAnsi" w:hAnsiTheme="majorHAnsi"/>
        <w:sz w:val="22"/>
        <w:szCs w:val="22"/>
      </w:rPr>
    </w:pPr>
    <w:r>
      <w:rPr>
        <w:rFonts w:asciiTheme="majorHAnsi" w:hAnsiTheme="majorHAnsi"/>
        <w:sz w:val="22"/>
        <w:szCs w:val="22"/>
      </w:rPr>
      <w:t>PREFA Aluminiumprodukte GmbH</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page </w:t>
    </w:r>
    <w:r w:rsidRPr="00D977D2">
      <w:rPr>
        <w:rFonts w:asciiTheme="majorHAnsi" w:hAnsiTheme="majorHAnsi"/>
        <w:sz w:val="22"/>
        <w:szCs w:val="22"/>
      </w:rPr>
      <w:fldChar w:fldCharType="begin"/>
    </w:r>
    <w:r w:rsidRPr="00D977D2">
      <w:rPr>
        <w:rFonts w:asciiTheme="majorHAnsi" w:hAnsiTheme="majorHAnsi"/>
        <w:sz w:val="22"/>
        <w:szCs w:val="22"/>
      </w:rPr>
      <w:instrText xml:space="preserve"> PAGE </w:instrText>
    </w:r>
    <w:r w:rsidRPr="00D977D2">
      <w:rPr>
        <w:rFonts w:asciiTheme="majorHAnsi" w:hAnsiTheme="majorHAnsi"/>
        <w:sz w:val="22"/>
        <w:szCs w:val="22"/>
      </w:rPr>
      <w:fldChar w:fldCharType="separate"/>
    </w:r>
    <w:r w:rsidR="00765B53">
      <w:rPr>
        <w:rFonts w:asciiTheme="majorHAnsi" w:hAnsiTheme="majorHAnsi"/>
        <w:noProof/>
        <w:sz w:val="22"/>
        <w:szCs w:val="22"/>
      </w:rPr>
      <w:t>1</w:t>
    </w:r>
    <w:r w:rsidRPr="00D977D2">
      <w:rPr>
        <w:rFonts w:asciiTheme="majorHAnsi" w:hAnsiTheme="majorHAnsi"/>
        <w:sz w:val="22"/>
        <w:szCs w:val="22"/>
      </w:rPr>
      <w:fldChar w:fldCharType="end"/>
    </w:r>
    <w:r>
      <w:rPr>
        <w:rFonts w:asciiTheme="majorHAnsi" w:hAnsiTheme="majorHAnsi"/>
        <w:sz w:val="22"/>
        <w:szCs w:val="22"/>
      </w:rPr>
      <w:t xml:space="preserve"> sur </w:t>
    </w:r>
    <w:r w:rsidRPr="00D977D2">
      <w:rPr>
        <w:rFonts w:asciiTheme="majorHAnsi" w:hAnsiTheme="majorHAnsi"/>
        <w:sz w:val="22"/>
        <w:szCs w:val="22"/>
      </w:rPr>
      <w:fldChar w:fldCharType="begin"/>
    </w:r>
    <w:r w:rsidRPr="00D977D2">
      <w:rPr>
        <w:rFonts w:asciiTheme="majorHAnsi" w:hAnsiTheme="majorHAnsi"/>
        <w:sz w:val="22"/>
        <w:szCs w:val="22"/>
      </w:rPr>
      <w:instrText xml:space="preserve"> NUMPAGES  </w:instrText>
    </w:r>
    <w:r w:rsidRPr="00D977D2">
      <w:rPr>
        <w:rFonts w:asciiTheme="majorHAnsi" w:hAnsiTheme="majorHAnsi"/>
        <w:sz w:val="22"/>
        <w:szCs w:val="22"/>
      </w:rPr>
      <w:fldChar w:fldCharType="separate"/>
    </w:r>
    <w:r w:rsidR="00765B53">
      <w:rPr>
        <w:rFonts w:asciiTheme="majorHAnsi" w:hAnsiTheme="majorHAnsi"/>
        <w:noProof/>
        <w:sz w:val="22"/>
        <w:szCs w:val="22"/>
      </w:rPr>
      <w:t>19</w:t>
    </w:r>
    <w:r w:rsidRPr="00D977D2">
      <w:rPr>
        <w:rFonts w:asciiTheme="majorHAnsi" w:hAnsiTheme="majorHAnsi"/>
        <w:sz w:val="22"/>
        <w:szCs w:val="22"/>
      </w:rPr>
      <w:fldChar w:fldCharType="end"/>
    </w:r>
  </w:p>
  <w:p w14:paraId="77794936" w14:textId="77777777" w:rsidR="004439A6" w:rsidRPr="00D977D2" w:rsidRDefault="004439A6" w:rsidP="0075760F">
    <w:pPr>
      <w:rPr>
        <w:rFonts w:asciiTheme="majorHAnsi" w:hAnsiTheme="majorHAnsi"/>
        <w:sz w:val="22"/>
        <w:szCs w:val="22"/>
      </w:rPr>
    </w:pPr>
    <w:r>
      <w:rPr>
        <w:rFonts w:asciiTheme="majorHAnsi" w:hAnsiTheme="majorHAnsi"/>
        <w:sz w:val="22"/>
        <w:szCs w:val="22"/>
      </w:rPr>
      <w:t>A-3182 Marktl/Lilienfeld</w:t>
    </w:r>
  </w:p>
  <w:p w14:paraId="02FA8A2B" w14:textId="77777777" w:rsidR="004439A6" w:rsidRPr="00A75A63" w:rsidRDefault="00765B53" w:rsidP="0075760F">
    <w:pPr>
      <w:pStyle w:val="Fuzeile"/>
    </w:pPr>
    <w:hyperlink r:id="rId1" w:history="1">
      <w:r w:rsidR="004439A6">
        <w:rPr>
          <w:rStyle w:val="Hyperlink"/>
        </w:rPr>
        <w:t>www.prefa.com</w:t>
      </w:r>
    </w:hyperlink>
    <w:r w:rsidR="004439A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AD1E5" w14:textId="77777777" w:rsidR="00765B53" w:rsidRDefault="00765B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3BA9D" w14:textId="77777777" w:rsidR="004439A6" w:rsidRDefault="004439A6" w:rsidP="00D977D2">
      <w:r>
        <w:separator/>
      </w:r>
    </w:p>
  </w:footnote>
  <w:footnote w:type="continuationSeparator" w:id="0">
    <w:p w14:paraId="577C80D5" w14:textId="77777777" w:rsidR="004439A6" w:rsidRDefault="004439A6" w:rsidP="00D97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15AAB" w14:textId="77777777" w:rsidR="00765B53" w:rsidRDefault="00765B5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E08C" w14:textId="46924653" w:rsidR="004439A6" w:rsidRDefault="004439A6" w:rsidP="0075760F">
    <w:pPr>
      <w:pStyle w:val="Kopfzeile"/>
      <w:jc w:val="right"/>
    </w:pPr>
    <w:r>
      <w:tab/>
    </w:r>
    <w:r w:rsidR="00765B53">
      <w:rPr>
        <w:noProof/>
        <w:lang w:val="de-DE" w:eastAsia="de-DE"/>
      </w:rPr>
      <w:drawing>
        <wp:inline distT="0" distB="0" distL="0" distR="0" wp14:anchorId="13456610" wp14:editId="47A95798">
          <wp:extent cx="1838325" cy="342900"/>
          <wp:effectExtent l="0" t="0" r="9525" b="0"/>
          <wp:docPr id="1" name="Grafik 1" descr="PREFA Logo Claim einzeilig schwarz FR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A Logo Claim einzeilig schwarz FRA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bookmarkStart w:id="0" w:name="_GoBack"/>
    <w:bookmarkEnd w:id="0"/>
  </w:p>
  <w:p w14:paraId="36D52C3B" w14:textId="77777777" w:rsidR="004439A6" w:rsidRDefault="004439A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993FA" w14:textId="77777777" w:rsidR="00765B53" w:rsidRDefault="00765B5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9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99"/>
    <w:rsid w:val="00012D82"/>
    <w:rsid w:val="00071351"/>
    <w:rsid w:val="00095B1C"/>
    <w:rsid w:val="000B6C83"/>
    <w:rsid w:val="000C0C21"/>
    <w:rsid w:val="000D7174"/>
    <w:rsid w:val="000F09C2"/>
    <w:rsid w:val="000F581A"/>
    <w:rsid w:val="00104569"/>
    <w:rsid w:val="00115A60"/>
    <w:rsid w:val="0012548E"/>
    <w:rsid w:val="00153416"/>
    <w:rsid w:val="001A1149"/>
    <w:rsid w:val="001B52AB"/>
    <w:rsid w:val="001C2F16"/>
    <w:rsid w:val="001F61FB"/>
    <w:rsid w:val="00214239"/>
    <w:rsid w:val="00236C4B"/>
    <w:rsid w:val="0027004F"/>
    <w:rsid w:val="002831B6"/>
    <w:rsid w:val="002858D2"/>
    <w:rsid w:val="00323905"/>
    <w:rsid w:val="0034355B"/>
    <w:rsid w:val="00374052"/>
    <w:rsid w:val="00385AD8"/>
    <w:rsid w:val="003A0EEF"/>
    <w:rsid w:val="003B5502"/>
    <w:rsid w:val="003B6A1A"/>
    <w:rsid w:val="003B6ECC"/>
    <w:rsid w:val="004067E2"/>
    <w:rsid w:val="00412119"/>
    <w:rsid w:val="004439A6"/>
    <w:rsid w:val="0047594A"/>
    <w:rsid w:val="004A0247"/>
    <w:rsid w:val="004A0473"/>
    <w:rsid w:val="004B515D"/>
    <w:rsid w:val="004C7A5A"/>
    <w:rsid w:val="004F140A"/>
    <w:rsid w:val="00567288"/>
    <w:rsid w:val="00584964"/>
    <w:rsid w:val="005F706C"/>
    <w:rsid w:val="00600E4D"/>
    <w:rsid w:val="00637C1A"/>
    <w:rsid w:val="006424E6"/>
    <w:rsid w:val="006F4832"/>
    <w:rsid w:val="0075760F"/>
    <w:rsid w:val="00765B53"/>
    <w:rsid w:val="00776294"/>
    <w:rsid w:val="007A74E5"/>
    <w:rsid w:val="007E6013"/>
    <w:rsid w:val="007F6841"/>
    <w:rsid w:val="008818A0"/>
    <w:rsid w:val="00894CC9"/>
    <w:rsid w:val="008C00B4"/>
    <w:rsid w:val="00945E80"/>
    <w:rsid w:val="00985318"/>
    <w:rsid w:val="009D5B78"/>
    <w:rsid w:val="009F10F4"/>
    <w:rsid w:val="00A12C55"/>
    <w:rsid w:val="00A63E55"/>
    <w:rsid w:val="00A7450A"/>
    <w:rsid w:val="00AE05FB"/>
    <w:rsid w:val="00B021E0"/>
    <w:rsid w:val="00B1591E"/>
    <w:rsid w:val="00B25512"/>
    <w:rsid w:val="00B308FC"/>
    <w:rsid w:val="00B46B0D"/>
    <w:rsid w:val="00BB005D"/>
    <w:rsid w:val="00BE5B71"/>
    <w:rsid w:val="00C37B8B"/>
    <w:rsid w:val="00C57495"/>
    <w:rsid w:val="00CA2F86"/>
    <w:rsid w:val="00CB0CE6"/>
    <w:rsid w:val="00CC38B1"/>
    <w:rsid w:val="00CD575C"/>
    <w:rsid w:val="00CE0999"/>
    <w:rsid w:val="00CE4441"/>
    <w:rsid w:val="00CE7832"/>
    <w:rsid w:val="00D9024C"/>
    <w:rsid w:val="00D977D2"/>
    <w:rsid w:val="00E01BCD"/>
    <w:rsid w:val="00E3310D"/>
    <w:rsid w:val="00EA490D"/>
    <w:rsid w:val="00EA4A52"/>
    <w:rsid w:val="00EB71B1"/>
    <w:rsid w:val="00ED475F"/>
    <w:rsid w:val="00F04F8A"/>
    <w:rsid w:val="00F15878"/>
    <w:rsid w:val="00F15BD5"/>
    <w:rsid w:val="00F57D14"/>
    <w:rsid w:val="00FB6560"/>
    <w:rsid w:val="00FE3A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7380F2F5"/>
  <w14:defaultImageDpi w14:val="300"/>
  <w15:docId w15:val="{21C162BE-CCDB-4B0A-8A4B-2429A3C6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CE0999"/>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CE0999"/>
    <w:rPr>
      <w:rFonts w:ascii="Calibri" w:eastAsia="Calibri" w:hAnsi="Calibri" w:cs="Times New Roman"/>
      <w:sz w:val="22"/>
      <w:szCs w:val="22"/>
      <w:lang w:val="fr-FR" w:eastAsia="en-US"/>
    </w:rPr>
  </w:style>
  <w:style w:type="character" w:styleId="Hyperlink">
    <w:name w:val="Hyperlink"/>
    <w:uiPriority w:val="99"/>
    <w:unhideWhenUsed/>
    <w:rsid w:val="00CE0999"/>
    <w:rPr>
      <w:color w:val="0000FF"/>
      <w:u w:val="single"/>
    </w:rPr>
  </w:style>
  <w:style w:type="paragraph" w:customStyle="1" w:styleId="Normal">
    <w:name w:val="[Normal]"/>
    <w:uiPriority w:val="99"/>
    <w:rsid w:val="00CE0999"/>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CE0999"/>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CE0999"/>
    <w:rPr>
      <w:rFonts w:ascii="Courier New" w:eastAsia="Calibri" w:hAnsi="Courier New" w:cs="Courier New"/>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C1B21C32056F44AA7DA1E9C2296358" ma:contentTypeVersion="10" ma:contentTypeDescription="Ein neues Dokument erstellen." ma:contentTypeScope="" ma:versionID="485edea1f2320aa220a1e9a5605b20e1">
  <xsd:schema xmlns:xsd="http://www.w3.org/2001/XMLSchema" xmlns:xs="http://www.w3.org/2001/XMLSchema" xmlns:p="http://schemas.microsoft.com/office/2006/metadata/properties" xmlns:ns2="665609e8-82a7-42bb-a241-1352fea502ca" xmlns:ns3="43e6e013-0698-44a1-9d48-8ff31a1df0c3" targetNamespace="http://schemas.microsoft.com/office/2006/metadata/properties" ma:root="true" ma:fieldsID="787dfc3627e4484d08314980df45e64a" ns2:_="" ns3:_="">
    <xsd:import namespace="665609e8-82a7-42bb-a241-1352fea502ca"/>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609e8-82a7-42bb-a241-1352fea50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A7C9CA-39AA-4BE2-B151-5B5EC0F82A68}"/>
</file>

<file path=customXml/itemProps2.xml><?xml version="1.0" encoding="utf-8"?>
<ds:datastoreItem xmlns:ds="http://schemas.openxmlformats.org/officeDocument/2006/customXml" ds:itemID="{3D5B86E5-314C-4D8A-BF3C-C5D05181E0CE}"/>
</file>

<file path=customXml/itemProps3.xml><?xml version="1.0" encoding="utf-8"?>
<ds:datastoreItem xmlns:ds="http://schemas.openxmlformats.org/officeDocument/2006/customXml" ds:itemID="{D3DB5AF5-0FFA-42F4-B312-B88708DB5E53}"/>
</file>

<file path=docProps/app.xml><?xml version="1.0" encoding="utf-8"?>
<Properties xmlns="http://schemas.openxmlformats.org/officeDocument/2006/extended-properties" xmlns:vt="http://schemas.openxmlformats.org/officeDocument/2006/docPropsVTypes">
  <Template>Normal</Template>
  <TotalTime>0</TotalTime>
  <Pages>19</Pages>
  <Words>4541</Words>
  <Characters>28611</Characters>
  <Application>Microsoft Office Word</Application>
  <DocSecurity>0</DocSecurity>
  <Lines>238</Lines>
  <Paragraphs>66</Paragraphs>
  <ScaleCrop>false</ScaleCrop>
  <Company>XXL Communication</Company>
  <LinksUpToDate>false</LinksUpToDate>
  <CharactersWithSpaces>33086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Mujadzic Alma</cp:lastModifiedBy>
  <cp:revision>78</cp:revision>
  <dcterms:created xsi:type="dcterms:W3CDTF">2017-09-08T19:03:00Z</dcterms:created>
  <dcterms:modified xsi:type="dcterms:W3CDTF">2017-12-20T11:26:00Z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0x0101003EC1B21C32056F44AA7DA1E9C2296358</vt:lpwstr>
  </property>
</Properties>
</file>